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A1093" w14:textId="3475A68E" w:rsidR="003F5C66" w:rsidRPr="003F5C66" w:rsidRDefault="003F5C66" w:rsidP="003F5C66">
      <w:pPr>
        <w:tabs>
          <w:tab w:val="center" w:pos="4536"/>
          <w:tab w:val="right" w:pos="7938"/>
          <w:tab w:val="right" w:pos="9639"/>
        </w:tabs>
        <w:ind w:right="2"/>
        <w:rPr>
          <w:rFonts w:ascii="Arial" w:hAnsi="Arial" w:cs="Arial"/>
          <w:b/>
          <w:bCs/>
          <w:sz w:val="24"/>
          <w:szCs w:val="32"/>
        </w:rPr>
      </w:pPr>
      <w:r w:rsidRPr="003F5C66">
        <w:rPr>
          <w:rFonts w:ascii="Arial" w:hAnsi="Arial" w:cs="Arial"/>
          <w:b/>
          <w:bCs/>
          <w:sz w:val="24"/>
          <w:szCs w:val="32"/>
        </w:rPr>
        <w:t>3GPP TSG RAN WG1 #</w:t>
      </w:r>
      <w:r w:rsidR="00A506A2">
        <w:rPr>
          <w:rFonts w:ascii="Arial" w:hAnsi="Arial" w:cs="Arial"/>
          <w:b/>
          <w:bCs/>
          <w:sz w:val="24"/>
          <w:szCs w:val="32"/>
        </w:rPr>
        <w:t>111</w:t>
      </w:r>
      <w:r w:rsidRPr="003F5C66">
        <w:rPr>
          <w:rFonts w:ascii="Arial" w:hAnsi="Arial" w:cs="Arial"/>
          <w:b/>
          <w:bCs/>
          <w:sz w:val="24"/>
          <w:szCs w:val="32"/>
        </w:rPr>
        <w:tab/>
      </w:r>
      <w:r w:rsidRPr="003F5C66">
        <w:rPr>
          <w:rFonts w:ascii="Arial" w:hAnsi="Arial" w:cs="Arial"/>
          <w:b/>
          <w:bCs/>
          <w:sz w:val="24"/>
          <w:szCs w:val="32"/>
        </w:rPr>
        <w:tab/>
      </w:r>
      <w:r w:rsidRPr="003F5C66">
        <w:rPr>
          <w:rFonts w:ascii="Arial" w:hAnsi="Arial" w:cs="Arial"/>
          <w:b/>
          <w:bCs/>
          <w:sz w:val="24"/>
          <w:szCs w:val="32"/>
        </w:rPr>
        <w:tab/>
      </w:r>
      <w:r w:rsidRPr="00AB58CB">
        <w:rPr>
          <w:rFonts w:ascii="Arial" w:hAnsi="Arial" w:cs="Arial"/>
          <w:b/>
          <w:bCs/>
          <w:sz w:val="24"/>
          <w:szCs w:val="32"/>
        </w:rPr>
        <w:t>R1-22</w:t>
      </w:r>
      <w:r w:rsidR="00A506A2" w:rsidRPr="00AB58CB">
        <w:rPr>
          <w:rFonts w:ascii="Arial" w:hAnsi="Arial" w:cs="Arial"/>
          <w:b/>
          <w:bCs/>
          <w:sz w:val="24"/>
          <w:szCs w:val="32"/>
        </w:rPr>
        <w:t>1</w:t>
      </w:r>
      <w:r w:rsidR="00AB58CB">
        <w:rPr>
          <w:rFonts w:ascii="Arial" w:hAnsi="Arial" w:cs="Arial"/>
          <w:b/>
          <w:bCs/>
          <w:sz w:val="24"/>
          <w:szCs w:val="32"/>
        </w:rPr>
        <w:t>1785</w:t>
      </w:r>
    </w:p>
    <w:p w14:paraId="773A9404" w14:textId="4C454000" w:rsidR="003F5C66" w:rsidRPr="003F5C66" w:rsidRDefault="00A506A2" w:rsidP="003F5C66">
      <w:pPr>
        <w:tabs>
          <w:tab w:val="center" w:pos="4536"/>
          <w:tab w:val="right" w:pos="9072"/>
        </w:tabs>
        <w:rPr>
          <w:rFonts w:ascii="Arial" w:eastAsia="MS Mincho" w:hAnsi="Arial" w:cs="Arial"/>
          <w:b/>
          <w:bCs/>
          <w:sz w:val="24"/>
          <w:szCs w:val="32"/>
          <w:lang w:eastAsia="ja-JP"/>
        </w:rPr>
      </w:pPr>
      <w:r>
        <w:rPr>
          <w:rFonts w:ascii="Arial" w:eastAsia="MS Mincho" w:hAnsi="Arial" w:cs="Arial"/>
          <w:b/>
          <w:bCs/>
          <w:sz w:val="24"/>
          <w:szCs w:val="32"/>
          <w:lang w:eastAsia="ja-JP"/>
        </w:rPr>
        <w:t>Toulouse, France, November</w:t>
      </w:r>
      <w:r w:rsidR="003F5C66" w:rsidRPr="003F5C66">
        <w:rPr>
          <w:rFonts w:ascii="Arial" w:eastAsia="MS Mincho" w:hAnsi="Arial" w:cs="Arial"/>
          <w:b/>
          <w:bCs/>
          <w:sz w:val="24"/>
          <w:szCs w:val="32"/>
          <w:lang w:eastAsia="ja-JP"/>
        </w:rPr>
        <w:t xml:space="preserve"> 1</w:t>
      </w:r>
      <w:r>
        <w:rPr>
          <w:rFonts w:ascii="Arial" w:eastAsia="MS Mincho" w:hAnsi="Arial" w:cs="Arial"/>
          <w:b/>
          <w:bCs/>
          <w:sz w:val="24"/>
          <w:szCs w:val="32"/>
          <w:lang w:eastAsia="ja-JP"/>
        </w:rPr>
        <w:t>4</w:t>
      </w:r>
      <w:r w:rsidR="003F5C66" w:rsidRPr="003F5C66">
        <w:rPr>
          <w:rFonts w:ascii="Arial" w:eastAsia="MS Mincho" w:hAnsi="Arial" w:cs="Arial"/>
          <w:b/>
          <w:bCs/>
          <w:sz w:val="24"/>
          <w:szCs w:val="32"/>
          <w:vertAlign w:val="superscript"/>
          <w:lang w:eastAsia="ja-JP"/>
        </w:rPr>
        <w:t>th</w:t>
      </w:r>
      <w:r w:rsidR="003F5C66" w:rsidRPr="003F5C66">
        <w:rPr>
          <w:rFonts w:ascii="Arial" w:eastAsia="MS Mincho" w:hAnsi="Arial" w:cs="Arial"/>
          <w:b/>
          <w:bCs/>
          <w:sz w:val="24"/>
          <w:szCs w:val="32"/>
          <w:lang w:eastAsia="ja-JP"/>
        </w:rPr>
        <w:t xml:space="preserve"> – 1</w:t>
      </w:r>
      <w:r>
        <w:rPr>
          <w:rFonts w:ascii="Arial" w:eastAsia="MS Mincho" w:hAnsi="Arial" w:cs="Arial"/>
          <w:b/>
          <w:bCs/>
          <w:sz w:val="24"/>
          <w:szCs w:val="32"/>
          <w:lang w:eastAsia="ja-JP"/>
        </w:rPr>
        <w:t>8</w:t>
      </w:r>
      <w:r w:rsidR="003F5C66" w:rsidRPr="003F5C66">
        <w:rPr>
          <w:rFonts w:ascii="Arial" w:eastAsia="MS Mincho" w:hAnsi="Arial" w:cs="Arial"/>
          <w:b/>
          <w:bCs/>
          <w:sz w:val="24"/>
          <w:szCs w:val="32"/>
          <w:vertAlign w:val="superscript"/>
          <w:lang w:eastAsia="ja-JP"/>
        </w:rPr>
        <w:t>th</w:t>
      </w:r>
      <w:r w:rsidR="003F5C66" w:rsidRPr="003F5C66">
        <w:rPr>
          <w:rFonts w:ascii="Arial" w:eastAsia="MS Mincho" w:hAnsi="Arial" w:cs="Arial"/>
          <w:b/>
          <w:bCs/>
          <w:sz w:val="24"/>
          <w:szCs w:val="32"/>
          <w:lang w:eastAsia="ja-JP"/>
        </w:rPr>
        <w:t>, 2022</w:t>
      </w:r>
    </w:p>
    <w:p w14:paraId="2CFE1919" w14:textId="75F6DC2F" w:rsidR="00850D96" w:rsidRPr="00A506A2" w:rsidRDefault="00850D96" w:rsidP="00CA26CE">
      <w:pPr>
        <w:pStyle w:val="Header"/>
        <w:rPr>
          <w:rFonts w:ascii="Times New Roman" w:hAnsi="Times New Roman"/>
          <w:bCs/>
          <w:noProof w:val="0"/>
          <w:sz w:val="24"/>
          <w:lang w:eastAsia="ja-JP"/>
        </w:rPr>
      </w:pPr>
    </w:p>
    <w:p w14:paraId="1A69E2E6" w14:textId="77777777" w:rsidR="0065189D" w:rsidRPr="002E2F37" w:rsidRDefault="0065189D" w:rsidP="00CA26CE">
      <w:pPr>
        <w:pStyle w:val="Header"/>
        <w:rPr>
          <w:rFonts w:ascii="Times New Roman" w:hAnsi="Times New Roman"/>
          <w:bCs/>
          <w:noProof w:val="0"/>
          <w:sz w:val="24"/>
          <w:lang w:val="en-GB" w:eastAsia="ja-JP"/>
        </w:rPr>
      </w:pPr>
    </w:p>
    <w:p w14:paraId="358C6C5E" w14:textId="77777777" w:rsidR="00390F36" w:rsidRPr="00CE30E7" w:rsidRDefault="00390F36" w:rsidP="00390F36">
      <w:pPr>
        <w:pStyle w:val="3GPPHeader"/>
      </w:pPr>
      <w:r w:rsidRPr="00CE30E7">
        <w:t>Agenda Item:</w:t>
      </w:r>
      <w:r w:rsidRPr="00CE30E7">
        <w:tab/>
      </w:r>
      <w:r>
        <w:t>5</w:t>
      </w:r>
    </w:p>
    <w:p w14:paraId="6726174E" w14:textId="77777777" w:rsidR="00390F36" w:rsidRPr="00CE30E7" w:rsidRDefault="00390F36" w:rsidP="00390F36">
      <w:pPr>
        <w:pStyle w:val="3GPPHeader"/>
      </w:pPr>
      <w:r w:rsidRPr="00CE30E7">
        <w:t>Source:</w:t>
      </w:r>
      <w:r w:rsidRPr="00CE30E7">
        <w:tab/>
        <w:t>Apple</w:t>
      </w:r>
    </w:p>
    <w:p w14:paraId="3B58FE47" w14:textId="129967B7" w:rsidR="00390F36" w:rsidRPr="00CE30E7" w:rsidRDefault="00390F36" w:rsidP="00390F36">
      <w:pPr>
        <w:pStyle w:val="3GPPHeader"/>
      </w:pPr>
      <w:r w:rsidRPr="00CE30E7">
        <w:t>Title:</w:t>
      </w:r>
      <w:r w:rsidRPr="00CE30E7">
        <w:tab/>
      </w:r>
      <w:r w:rsidRPr="007A0A4F">
        <w:t xml:space="preserve">Discussion on </w:t>
      </w:r>
      <w:r>
        <w:t xml:space="preserve">RAN2 </w:t>
      </w:r>
      <w:r w:rsidRPr="007A0A4F">
        <w:t xml:space="preserve">LS on </w:t>
      </w:r>
      <w:r w:rsidR="00A506A2">
        <w:t>RACH-less H</w:t>
      </w:r>
      <w:r w:rsidR="007B3A1B">
        <w:t>andover in NTN</w:t>
      </w:r>
      <w:r>
        <w:t xml:space="preserve"> </w:t>
      </w:r>
    </w:p>
    <w:p w14:paraId="1C80A3CE" w14:textId="77777777" w:rsidR="00390F36" w:rsidRPr="00CE30E7" w:rsidRDefault="00390F36" w:rsidP="00390F36">
      <w:pPr>
        <w:pStyle w:val="3GPPHeader"/>
      </w:pPr>
      <w:r w:rsidRPr="00CE30E7">
        <w:t>Document for:</w:t>
      </w:r>
      <w:r w:rsidRPr="00CE30E7">
        <w:tab/>
        <w:t>Discussion/Decision</w:t>
      </w:r>
    </w:p>
    <w:p w14:paraId="0E18D7DA" w14:textId="77777777" w:rsidR="00390F36" w:rsidRDefault="00390F36" w:rsidP="00390F36">
      <w:pPr>
        <w:pStyle w:val="Heading1"/>
      </w:pPr>
      <w:r w:rsidRPr="00A6576F">
        <w:t>Introduction</w:t>
      </w:r>
    </w:p>
    <w:p w14:paraId="7EA86D99" w14:textId="7A503954" w:rsidR="008E4BD2" w:rsidRDefault="008E4BD2" w:rsidP="00A506A2">
      <w:pPr>
        <w:jc w:val="both"/>
        <w:rPr>
          <w:sz w:val="24"/>
          <w:szCs w:val="24"/>
        </w:rPr>
      </w:pPr>
      <w:r w:rsidRPr="00601729">
        <w:rPr>
          <w:sz w:val="24"/>
          <w:szCs w:val="24"/>
        </w:rPr>
        <w:t xml:space="preserve">RAN2 sent an LS </w:t>
      </w:r>
      <w:r w:rsidR="00A506A2">
        <w:rPr>
          <w:sz w:val="24"/>
          <w:szCs w:val="24"/>
        </w:rPr>
        <w:t>to ask</w:t>
      </w:r>
      <w:r w:rsidRPr="00601729">
        <w:rPr>
          <w:sz w:val="24"/>
          <w:szCs w:val="24"/>
        </w:rPr>
        <w:t xml:space="preserve"> </w:t>
      </w:r>
      <w:r w:rsidR="00A506A2">
        <w:rPr>
          <w:sz w:val="24"/>
          <w:szCs w:val="24"/>
        </w:rPr>
        <w:t>in which NTN scenarios RACH-less handover is possible</w:t>
      </w:r>
      <w:r w:rsidRPr="00601729">
        <w:rPr>
          <w:sz w:val="24"/>
          <w:szCs w:val="24"/>
        </w:rPr>
        <w:t xml:space="preserve"> </w:t>
      </w:r>
      <w:r w:rsidRPr="00601729">
        <w:rPr>
          <w:sz w:val="24"/>
          <w:szCs w:val="24"/>
        </w:rPr>
        <w:fldChar w:fldCharType="begin"/>
      </w:r>
      <w:r w:rsidRPr="00601729">
        <w:rPr>
          <w:sz w:val="24"/>
          <w:szCs w:val="24"/>
        </w:rPr>
        <w:instrText xml:space="preserve"> REF _Ref78543045 \r \h  \* MERGEFORMAT </w:instrText>
      </w:r>
      <w:r w:rsidRPr="00601729">
        <w:rPr>
          <w:sz w:val="24"/>
          <w:szCs w:val="24"/>
        </w:rPr>
      </w:r>
      <w:r w:rsidRPr="00601729">
        <w:rPr>
          <w:sz w:val="24"/>
          <w:szCs w:val="24"/>
        </w:rPr>
        <w:fldChar w:fldCharType="separate"/>
      </w:r>
      <w:r w:rsidR="00AB58CB">
        <w:rPr>
          <w:sz w:val="24"/>
          <w:szCs w:val="24"/>
        </w:rPr>
        <w:t>[1]</w:t>
      </w:r>
      <w:r w:rsidRPr="00601729">
        <w:rPr>
          <w:sz w:val="24"/>
          <w:szCs w:val="24"/>
        </w:rPr>
        <w:fldChar w:fldCharType="end"/>
      </w:r>
      <w:r w:rsidRPr="00601729">
        <w:rPr>
          <w:sz w:val="24"/>
          <w:szCs w:val="24"/>
        </w:rPr>
        <w:t xml:space="preserve">. The LS </w:t>
      </w:r>
      <w:r w:rsidR="00A506A2">
        <w:rPr>
          <w:sz w:val="24"/>
          <w:szCs w:val="24"/>
        </w:rPr>
        <w:t xml:space="preserve">provides a list of </w:t>
      </w:r>
      <w:r w:rsidRPr="00601729">
        <w:rPr>
          <w:sz w:val="24"/>
          <w:szCs w:val="24"/>
        </w:rPr>
        <w:t>scenario</w:t>
      </w:r>
      <w:r w:rsidR="00A506A2">
        <w:rPr>
          <w:sz w:val="24"/>
          <w:szCs w:val="24"/>
        </w:rPr>
        <w:t>s</w:t>
      </w:r>
      <w:r w:rsidRPr="00601729">
        <w:rPr>
          <w:sz w:val="24"/>
          <w:szCs w:val="24"/>
        </w:rPr>
        <w:t xml:space="preserve"> </w:t>
      </w:r>
      <w:r w:rsidR="00A506A2">
        <w:rPr>
          <w:sz w:val="24"/>
          <w:szCs w:val="24"/>
        </w:rPr>
        <w:t xml:space="preserve">including </w:t>
      </w:r>
    </w:p>
    <w:p w14:paraId="31A0F9A9" w14:textId="29D229AE" w:rsidR="00A506A2" w:rsidRPr="00A506A2" w:rsidRDefault="00A506A2" w:rsidP="00A506A2">
      <w:pPr>
        <w:pStyle w:val="ListParagraph"/>
        <w:numPr>
          <w:ilvl w:val="0"/>
          <w:numId w:val="10"/>
        </w:numPr>
        <w:jc w:val="both"/>
        <w:rPr>
          <w:lang w:val="en-US"/>
        </w:rPr>
      </w:pPr>
      <w:r w:rsidRPr="00A506A2">
        <w:rPr>
          <w:lang w:val="en-US"/>
        </w:rPr>
        <w:t>Intra-satellite handover with the same feeder link, i.e., with same gateway/gNB</w:t>
      </w:r>
    </w:p>
    <w:p w14:paraId="203B9BBB" w14:textId="7B9A6EF1" w:rsidR="00A506A2" w:rsidRPr="00A506A2" w:rsidRDefault="00A506A2" w:rsidP="00A506A2">
      <w:pPr>
        <w:pStyle w:val="ListParagraph"/>
        <w:numPr>
          <w:ilvl w:val="0"/>
          <w:numId w:val="10"/>
        </w:numPr>
        <w:jc w:val="both"/>
        <w:rPr>
          <w:lang w:val="en-US"/>
        </w:rPr>
      </w:pPr>
      <w:r w:rsidRPr="00A506A2">
        <w:rPr>
          <w:lang w:val="en-US"/>
        </w:rPr>
        <w:t>Intra-satellite handover with different feeder links, i.e, with gateway/gNB switch</w:t>
      </w:r>
    </w:p>
    <w:p w14:paraId="5AAAC2EA" w14:textId="553109F2" w:rsidR="00A506A2" w:rsidRPr="00A506A2" w:rsidRDefault="00A506A2" w:rsidP="00A506A2">
      <w:pPr>
        <w:pStyle w:val="ListParagraph"/>
        <w:numPr>
          <w:ilvl w:val="0"/>
          <w:numId w:val="10"/>
        </w:numPr>
        <w:jc w:val="both"/>
        <w:rPr>
          <w:lang w:val="en-US" w:eastAsia="en-US"/>
        </w:rPr>
      </w:pPr>
      <w:r w:rsidRPr="00A506A2">
        <w:rPr>
          <w:lang w:val="en-US" w:eastAsia="en-US"/>
        </w:rPr>
        <w:t>Inter-satellite handover with gateway/gNB switch</w:t>
      </w:r>
    </w:p>
    <w:p w14:paraId="7D91E367" w14:textId="3B0B174E" w:rsidR="00E029FC" w:rsidRPr="00E029FC" w:rsidRDefault="00A506A2" w:rsidP="00E029FC">
      <w:pPr>
        <w:pStyle w:val="ListParagraph"/>
        <w:numPr>
          <w:ilvl w:val="0"/>
          <w:numId w:val="10"/>
        </w:numPr>
        <w:jc w:val="both"/>
        <w:rPr>
          <w:lang w:val="en-US" w:eastAsia="en-US"/>
        </w:rPr>
      </w:pPr>
      <w:r w:rsidRPr="00A506A2">
        <w:rPr>
          <w:lang w:val="en-US" w:eastAsia="en-US"/>
        </w:rPr>
        <w:t>Inter-satellite handover with same gateway/gNB</w:t>
      </w:r>
    </w:p>
    <w:p w14:paraId="0241122A" w14:textId="77777777" w:rsidR="003F463C" w:rsidRDefault="003F463C" w:rsidP="00601729">
      <w:pPr>
        <w:jc w:val="both"/>
        <w:rPr>
          <w:sz w:val="24"/>
          <w:szCs w:val="24"/>
          <w:lang w:eastAsia="x-none"/>
        </w:rPr>
      </w:pPr>
    </w:p>
    <w:p w14:paraId="7DF5F9CE" w14:textId="61BF482F" w:rsidR="007E2446" w:rsidRPr="00601729" w:rsidRDefault="008E4BD2" w:rsidP="00601729">
      <w:pPr>
        <w:jc w:val="both"/>
        <w:rPr>
          <w:rFonts w:eastAsia="PMingLiU"/>
          <w:sz w:val="24"/>
          <w:szCs w:val="24"/>
          <w:lang w:eastAsia="zh-TW"/>
        </w:rPr>
      </w:pPr>
      <w:r w:rsidRPr="00601729">
        <w:rPr>
          <w:sz w:val="24"/>
          <w:szCs w:val="24"/>
          <w:lang w:eastAsia="x-none"/>
        </w:rPr>
        <w:t xml:space="preserve">In this contribution, we discuss the </w:t>
      </w:r>
      <w:r w:rsidR="00A506A2">
        <w:rPr>
          <w:sz w:val="24"/>
          <w:szCs w:val="24"/>
          <w:lang w:eastAsia="x-none"/>
        </w:rPr>
        <w:t xml:space="preserve">possibility of </w:t>
      </w:r>
      <w:r w:rsidR="00A506A2">
        <w:rPr>
          <w:rFonts w:eastAsiaTheme="minorEastAsia"/>
          <w:sz w:val="24"/>
          <w:szCs w:val="24"/>
        </w:rPr>
        <w:t xml:space="preserve">RACH-less handover in various NTN scenarios.  </w:t>
      </w:r>
    </w:p>
    <w:p w14:paraId="691B73BE" w14:textId="1497A29B" w:rsidR="00390F36" w:rsidRDefault="00390F36" w:rsidP="00390F36">
      <w:pPr>
        <w:pStyle w:val="Heading1"/>
      </w:pPr>
      <w:r>
        <w:t>Discussion</w:t>
      </w:r>
    </w:p>
    <w:p w14:paraId="0FA442D5" w14:textId="6C673454" w:rsidR="003A2F09" w:rsidRDefault="00987609" w:rsidP="00A506A2">
      <w:pPr>
        <w:jc w:val="both"/>
        <w:rPr>
          <w:sz w:val="24"/>
          <w:szCs w:val="24"/>
        </w:rPr>
      </w:pPr>
      <w:r>
        <w:rPr>
          <w:sz w:val="24"/>
          <w:szCs w:val="24"/>
        </w:rPr>
        <w:t xml:space="preserve">In legacy handover procedure, after receiving handover command via RRC connection reconfiguration from source cell, a UE sends random access preamble to target cell. After the UE receives random access response from target cell, which includes timing advance </w:t>
      </w:r>
      <w:r w:rsidR="00BD362D">
        <w:rPr>
          <w:sz w:val="24"/>
          <w:szCs w:val="24"/>
        </w:rPr>
        <w:t xml:space="preserve">(TA) </w:t>
      </w:r>
      <w:r>
        <w:rPr>
          <w:sz w:val="24"/>
          <w:szCs w:val="24"/>
        </w:rPr>
        <w:t xml:space="preserve">command, it sends handover complete via RRC connection reconfiguration complete to target cell. </w:t>
      </w:r>
    </w:p>
    <w:p w14:paraId="6131E06C" w14:textId="351C15E3" w:rsidR="0081117E" w:rsidRDefault="00987609" w:rsidP="00A506A2">
      <w:pPr>
        <w:jc w:val="both"/>
        <w:rPr>
          <w:sz w:val="24"/>
          <w:szCs w:val="24"/>
        </w:rPr>
      </w:pPr>
      <w:r>
        <w:rPr>
          <w:sz w:val="24"/>
          <w:szCs w:val="24"/>
        </w:rPr>
        <w:t>In RACH-less handover, after receiving handover command from source cell, the UE waits for uplink grant</w:t>
      </w:r>
      <w:r w:rsidR="004942A7">
        <w:rPr>
          <w:sz w:val="24"/>
          <w:szCs w:val="24"/>
        </w:rPr>
        <w:t xml:space="preserve"> </w:t>
      </w:r>
      <w:r>
        <w:rPr>
          <w:sz w:val="24"/>
          <w:szCs w:val="24"/>
        </w:rPr>
        <w:t>from target cell. Once it receives uplink grant, it sends handover complete via RRC connection reconfiguration complete to target cell. Since there is no random access in the targe cell, t</w:t>
      </w:r>
      <w:r w:rsidR="0081117E" w:rsidRPr="0081117E">
        <w:rPr>
          <w:sz w:val="24"/>
          <w:szCs w:val="24"/>
        </w:rPr>
        <w:t xml:space="preserve">he RACH-less handover solution offers significant reductions in the data connectivity interruption time at each handover, and </w:t>
      </w:r>
      <w:r>
        <w:rPr>
          <w:sz w:val="24"/>
          <w:szCs w:val="24"/>
        </w:rPr>
        <w:t xml:space="preserve">hence </w:t>
      </w:r>
      <w:r w:rsidR="0081117E" w:rsidRPr="0081117E">
        <w:rPr>
          <w:sz w:val="24"/>
          <w:szCs w:val="24"/>
        </w:rPr>
        <w:t>reduced overall handover execution time. </w:t>
      </w:r>
    </w:p>
    <w:p w14:paraId="2A0E0B8F" w14:textId="62EBA05D" w:rsidR="003A2F09" w:rsidRDefault="00987609" w:rsidP="00A506A2">
      <w:pPr>
        <w:jc w:val="both"/>
        <w:rPr>
          <w:sz w:val="24"/>
          <w:szCs w:val="24"/>
        </w:rPr>
      </w:pPr>
      <w:r>
        <w:rPr>
          <w:sz w:val="24"/>
          <w:szCs w:val="24"/>
        </w:rPr>
        <w:t>There are two us</w:t>
      </w:r>
      <w:r w:rsidR="003F463C">
        <w:rPr>
          <w:sz w:val="24"/>
          <w:szCs w:val="24"/>
        </w:rPr>
        <w:t xml:space="preserve">e cases </w:t>
      </w:r>
      <w:r>
        <w:rPr>
          <w:sz w:val="24"/>
          <w:szCs w:val="24"/>
        </w:rPr>
        <w:t>of RACH-less handover in LTE. In</w:t>
      </w:r>
      <w:r w:rsidR="003F463C">
        <w:rPr>
          <w:sz w:val="24"/>
          <w:szCs w:val="24"/>
        </w:rPr>
        <w:t xml:space="preserve"> the first case</w:t>
      </w:r>
      <w:r>
        <w:rPr>
          <w:sz w:val="24"/>
          <w:szCs w:val="24"/>
        </w:rPr>
        <w:t xml:space="preserve">, target cell is a small cell, which implies the </w:t>
      </w:r>
      <w:r w:rsidR="00BD362D">
        <w:rPr>
          <w:sz w:val="24"/>
          <w:szCs w:val="24"/>
        </w:rPr>
        <w:t>TA</w:t>
      </w:r>
      <w:r>
        <w:rPr>
          <w:sz w:val="24"/>
          <w:szCs w:val="24"/>
        </w:rPr>
        <w:t xml:space="preserve"> value of the target cell is equal to 0. In the </w:t>
      </w:r>
      <w:r w:rsidR="003F463C">
        <w:rPr>
          <w:sz w:val="24"/>
          <w:szCs w:val="24"/>
        </w:rPr>
        <w:t>second case</w:t>
      </w:r>
      <w:r>
        <w:rPr>
          <w:sz w:val="24"/>
          <w:szCs w:val="24"/>
        </w:rPr>
        <w:t xml:space="preserve">, the </w:t>
      </w:r>
      <w:r w:rsidR="00BD362D">
        <w:rPr>
          <w:sz w:val="24"/>
          <w:szCs w:val="24"/>
        </w:rPr>
        <w:t>TA</w:t>
      </w:r>
      <w:r>
        <w:rPr>
          <w:sz w:val="24"/>
          <w:szCs w:val="24"/>
        </w:rPr>
        <w:t xml:space="preserve"> value of the target cell </w:t>
      </w:r>
      <w:r w:rsidR="004942A7">
        <w:rPr>
          <w:sz w:val="24"/>
          <w:szCs w:val="24"/>
        </w:rPr>
        <w:t xml:space="preserve">is equal to the </w:t>
      </w:r>
      <w:r w:rsidR="00BD362D">
        <w:rPr>
          <w:sz w:val="24"/>
          <w:szCs w:val="24"/>
        </w:rPr>
        <w:t>TA</w:t>
      </w:r>
      <w:r w:rsidR="004942A7">
        <w:rPr>
          <w:sz w:val="24"/>
          <w:szCs w:val="24"/>
        </w:rPr>
        <w:t xml:space="preserve"> value of the source cell. </w:t>
      </w:r>
    </w:p>
    <w:p w14:paraId="25922C72" w14:textId="10F29FEE" w:rsidR="004942A7" w:rsidRDefault="004942A7" w:rsidP="00A506A2">
      <w:pPr>
        <w:jc w:val="both"/>
        <w:rPr>
          <w:sz w:val="24"/>
          <w:szCs w:val="24"/>
        </w:rPr>
      </w:pPr>
      <w:r>
        <w:rPr>
          <w:sz w:val="24"/>
          <w:szCs w:val="24"/>
        </w:rPr>
        <w:t xml:space="preserve">It </w:t>
      </w:r>
      <w:r w:rsidR="003F463C">
        <w:rPr>
          <w:sz w:val="24"/>
          <w:szCs w:val="24"/>
        </w:rPr>
        <w:t>seems natural</w:t>
      </w:r>
      <w:r>
        <w:rPr>
          <w:sz w:val="24"/>
          <w:szCs w:val="24"/>
        </w:rPr>
        <w:t xml:space="preserve"> that in the first scenario in RAN2 LS, i.e., intra-satellite handover with the same feeder link, the </w:t>
      </w:r>
      <w:r w:rsidR="00BD362D">
        <w:rPr>
          <w:sz w:val="24"/>
          <w:szCs w:val="24"/>
        </w:rPr>
        <w:t>TA</w:t>
      </w:r>
      <w:r>
        <w:rPr>
          <w:sz w:val="24"/>
          <w:szCs w:val="24"/>
        </w:rPr>
        <w:t xml:space="preserve"> value of target cell is equal to the </w:t>
      </w:r>
      <w:r w:rsidR="00BD362D">
        <w:rPr>
          <w:sz w:val="24"/>
          <w:szCs w:val="24"/>
        </w:rPr>
        <w:t xml:space="preserve">TA </w:t>
      </w:r>
      <w:r>
        <w:rPr>
          <w:sz w:val="24"/>
          <w:szCs w:val="24"/>
        </w:rPr>
        <w:t xml:space="preserve">value of source cell. </w:t>
      </w:r>
    </w:p>
    <w:p w14:paraId="29A472D3" w14:textId="34D1A4D5" w:rsidR="004942A7" w:rsidRDefault="00077E71" w:rsidP="00601729">
      <w:pPr>
        <w:jc w:val="both"/>
        <w:rPr>
          <w:i/>
          <w:sz w:val="24"/>
          <w:szCs w:val="24"/>
          <w:lang w:eastAsia="x-none"/>
        </w:rPr>
      </w:pPr>
      <w:r w:rsidRPr="00CC00E8">
        <w:rPr>
          <w:b/>
          <w:i/>
          <w:sz w:val="24"/>
          <w:szCs w:val="24"/>
          <w:u w:val="single"/>
        </w:rPr>
        <w:t>Observation</w:t>
      </w:r>
      <w:r w:rsidR="00CC00E8" w:rsidRPr="00CC00E8">
        <w:rPr>
          <w:b/>
          <w:i/>
          <w:sz w:val="24"/>
          <w:szCs w:val="24"/>
          <w:u w:val="single"/>
        </w:rPr>
        <w:t xml:space="preserve"> 1:</w:t>
      </w:r>
      <w:r w:rsidR="00CC00E8" w:rsidRPr="00CC00E8">
        <w:rPr>
          <w:i/>
          <w:sz w:val="24"/>
          <w:szCs w:val="24"/>
          <w:lang w:eastAsia="x-none"/>
        </w:rPr>
        <w:t xml:space="preserve"> </w:t>
      </w:r>
      <w:r w:rsidR="004942A7">
        <w:rPr>
          <w:i/>
          <w:sz w:val="24"/>
          <w:szCs w:val="24"/>
          <w:lang w:eastAsia="x-none"/>
        </w:rPr>
        <w:t>For intra-satellite handover with the same feeder link, t</w:t>
      </w:r>
      <w:r w:rsidR="00CC00E8">
        <w:rPr>
          <w:i/>
          <w:sz w:val="24"/>
          <w:szCs w:val="24"/>
          <w:lang w:eastAsia="x-none"/>
        </w:rPr>
        <w:t xml:space="preserve">he </w:t>
      </w:r>
      <w:r w:rsidR="00BD362D">
        <w:rPr>
          <w:i/>
          <w:sz w:val="24"/>
          <w:szCs w:val="24"/>
          <w:lang w:eastAsia="x-none"/>
        </w:rPr>
        <w:t>TA</w:t>
      </w:r>
      <w:r w:rsidR="004942A7">
        <w:rPr>
          <w:i/>
          <w:sz w:val="24"/>
          <w:szCs w:val="24"/>
          <w:lang w:eastAsia="x-none"/>
        </w:rPr>
        <w:t xml:space="preserve"> value of target cell is equal to the </w:t>
      </w:r>
      <w:r w:rsidR="00BD362D">
        <w:rPr>
          <w:i/>
          <w:sz w:val="24"/>
          <w:szCs w:val="24"/>
          <w:lang w:eastAsia="x-none"/>
        </w:rPr>
        <w:t>TA</w:t>
      </w:r>
      <w:r w:rsidR="004942A7">
        <w:rPr>
          <w:i/>
          <w:sz w:val="24"/>
          <w:szCs w:val="24"/>
          <w:lang w:eastAsia="x-none"/>
        </w:rPr>
        <w:t xml:space="preserve"> value of source cell. </w:t>
      </w:r>
    </w:p>
    <w:p w14:paraId="69E6C24E" w14:textId="6A22356F" w:rsidR="003F463C" w:rsidRPr="003F463C" w:rsidRDefault="003F463C" w:rsidP="003F463C">
      <w:pPr>
        <w:jc w:val="both"/>
        <w:rPr>
          <w:i/>
          <w:sz w:val="24"/>
          <w:szCs w:val="24"/>
          <w:lang w:eastAsia="x-none"/>
        </w:rPr>
      </w:pPr>
      <w:r>
        <w:rPr>
          <w:sz w:val="24"/>
          <w:szCs w:val="24"/>
        </w:rPr>
        <w:t>I</w:t>
      </w:r>
      <w:r w:rsidR="00BD362D">
        <w:rPr>
          <w:sz w:val="24"/>
          <w:szCs w:val="24"/>
        </w:rPr>
        <w:t xml:space="preserve">n NR NTN, the TA update in RRC connected mode is based on both open and closed control loops. </w:t>
      </w:r>
      <w:r>
        <w:rPr>
          <w:sz w:val="24"/>
          <w:szCs w:val="24"/>
        </w:rPr>
        <w:t>Specifically, in the following TA formula,</w:t>
      </w:r>
    </w:p>
    <w:p w14:paraId="0CE09A58" w14:textId="2CCE119F" w:rsidR="003F463C" w:rsidRDefault="00000000" w:rsidP="003F463C">
      <w:pPr>
        <w:jc w:val="center"/>
        <w:rPr>
          <w:sz w:val="24"/>
          <w:szCs w:val="24"/>
        </w:rPr>
      </w:pP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TA</m:t>
            </m:r>
          </m:sub>
        </m:sSub>
        <m:r>
          <w:rPr>
            <w:rFonts w:ascii="Cambria Math" w:hAnsi="Cambria Math"/>
            <w:sz w:val="24"/>
            <w:szCs w:val="24"/>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TA</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TA,offset</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TA,adj</m:t>
                </m:r>
              </m:sub>
              <m:sup>
                <m:r>
                  <w:rPr>
                    <w:rFonts w:ascii="Cambria Math" w:hAnsi="Cambria Math"/>
                    <w:sz w:val="24"/>
                    <w:szCs w:val="24"/>
                  </w:rPr>
                  <m:t>common</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TA,adj</m:t>
                </m:r>
              </m:sub>
              <m:sup>
                <m:r>
                  <w:rPr>
                    <w:rFonts w:ascii="Cambria Math" w:hAnsi="Cambria Math"/>
                    <w:sz w:val="24"/>
                    <w:szCs w:val="24"/>
                  </w:rPr>
                  <m:t>UE</m:t>
                </m:r>
              </m:sup>
            </m:sSubSup>
          </m:e>
        </m:d>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c</m:t>
            </m:r>
          </m:sub>
        </m:sSub>
      </m:oMath>
      <w:r w:rsidR="003F463C">
        <w:rPr>
          <w:rFonts w:ascii="Cambria Math" w:hAnsi="Cambria Math"/>
          <w:i/>
          <w:sz w:val="24"/>
          <w:szCs w:val="24"/>
        </w:rPr>
        <w:t>,</w:t>
      </w:r>
    </w:p>
    <w:p w14:paraId="18E3C639" w14:textId="7710DBB6" w:rsidR="003F463C" w:rsidRDefault="003F463C" w:rsidP="004942A7">
      <w:pPr>
        <w:jc w:val="both"/>
        <w:rPr>
          <w:sz w:val="24"/>
          <w:szCs w:val="24"/>
        </w:rPr>
      </w:pPr>
      <w:r>
        <w:rPr>
          <w:sz w:val="24"/>
          <w:szCs w:val="24"/>
        </w:rPr>
        <w:lastRenderedPageBreak/>
        <w:t xml:space="preserve">the UE specific TA </w:t>
      </w: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TA,adj</m:t>
            </m:r>
          </m:sub>
          <m:sup>
            <m:r>
              <w:rPr>
                <w:rFonts w:ascii="Cambria Math" w:hAnsi="Cambria Math"/>
                <w:sz w:val="24"/>
                <w:szCs w:val="24"/>
              </w:rPr>
              <m:t>UE</m:t>
            </m:r>
          </m:sup>
        </m:sSubSup>
      </m:oMath>
      <w:r>
        <w:rPr>
          <w:sz w:val="24"/>
          <w:szCs w:val="24"/>
        </w:rPr>
        <w:t xml:space="preserve"> and the common TA </w:t>
      </w: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TA,adj</m:t>
            </m:r>
          </m:sub>
          <m:sup>
            <m:r>
              <w:rPr>
                <w:rFonts w:ascii="Cambria Math" w:hAnsi="Cambria Math"/>
                <w:sz w:val="24"/>
                <w:szCs w:val="24"/>
              </w:rPr>
              <m:t>common</m:t>
            </m:r>
          </m:sup>
        </m:sSubSup>
      </m:oMath>
      <w:r>
        <w:rPr>
          <w:sz w:val="24"/>
          <w:szCs w:val="24"/>
        </w:rPr>
        <w:t xml:space="preserve"> are autonomously maintained by UE in terms of open control loop. </w:t>
      </w:r>
      <w:r w:rsidR="00BD362D">
        <w:rPr>
          <w:sz w:val="24"/>
          <w:szCs w:val="24"/>
        </w:rPr>
        <w:t xml:space="preserve">The UE specific TA </w:t>
      </w: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TA,adj</m:t>
            </m:r>
          </m:sub>
          <m:sup>
            <m:r>
              <w:rPr>
                <w:rFonts w:ascii="Cambria Math" w:hAnsi="Cambria Math"/>
                <w:sz w:val="24"/>
                <w:szCs w:val="24"/>
              </w:rPr>
              <m:t>UE</m:t>
            </m:r>
          </m:sup>
        </m:sSubSup>
      </m:oMath>
      <w:r>
        <w:rPr>
          <w:sz w:val="24"/>
          <w:szCs w:val="24"/>
        </w:rPr>
        <w:t xml:space="preserve"> </w:t>
      </w:r>
      <w:r w:rsidR="00BD362D">
        <w:rPr>
          <w:sz w:val="24"/>
          <w:szCs w:val="24"/>
        </w:rPr>
        <w:t>is derived from satellite ephemeris and UE’s own GNSS location. The common TA</w:t>
      </w:r>
      <w:r>
        <w:rPr>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TA,adj</m:t>
            </m:r>
          </m:sub>
          <m:sup>
            <m:r>
              <w:rPr>
                <w:rFonts w:ascii="Cambria Math" w:hAnsi="Cambria Math"/>
                <w:sz w:val="24"/>
                <w:szCs w:val="24"/>
              </w:rPr>
              <m:t>common</m:t>
            </m:r>
          </m:sup>
        </m:sSubSup>
      </m:oMath>
      <w:r w:rsidR="00BD362D">
        <w:rPr>
          <w:sz w:val="24"/>
          <w:szCs w:val="24"/>
        </w:rPr>
        <w:t xml:space="preserve"> is calculated using network indicated parameters. </w:t>
      </w:r>
    </w:p>
    <w:p w14:paraId="1D13366F" w14:textId="2F9D04DF" w:rsidR="00212609" w:rsidRDefault="003F463C" w:rsidP="00212609">
      <w:pPr>
        <w:jc w:val="both"/>
        <w:rPr>
          <w:sz w:val="24"/>
          <w:szCs w:val="24"/>
        </w:rPr>
      </w:pPr>
      <w:r>
        <w:rPr>
          <w:sz w:val="24"/>
          <w:szCs w:val="24"/>
        </w:rPr>
        <w:t xml:space="preserve">In the second scenario in RAN2 LS, i.e., intra-satellite handover with </w:t>
      </w:r>
      <w:r w:rsidRPr="003F463C">
        <w:rPr>
          <w:sz w:val="24"/>
          <w:szCs w:val="24"/>
        </w:rPr>
        <w:t>different feeder links</w:t>
      </w:r>
      <w:r>
        <w:rPr>
          <w:sz w:val="24"/>
          <w:szCs w:val="24"/>
        </w:rPr>
        <w:t xml:space="preserve">, common TA </w:t>
      </w:r>
      <w:r w:rsidR="00212609">
        <w:rPr>
          <w:sz w:val="24"/>
          <w:szCs w:val="24"/>
        </w:rPr>
        <w:t xml:space="preserve">value of serving cell is different from that of target cell. In the </w:t>
      </w:r>
      <w:r w:rsidR="00576992">
        <w:rPr>
          <w:sz w:val="24"/>
          <w:szCs w:val="24"/>
        </w:rPr>
        <w:t xml:space="preserve">last two </w:t>
      </w:r>
      <w:r w:rsidR="00212609">
        <w:rPr>
          <w:sz w:val="24"/>
          <w:szCs w:val="24"/>
        </w:rPr>
        <w:t>scenario</w:t>
      </w:r>
      <w:r w:rsidR="00576992">
        <w:rPr>
          <w:sz w:val="24"/>
          <w:szCs w:val="24"/>
        </w:rPr>
        <w:t>s</w:t>
      </w:r>
      <w:r w:rsidR="00212609">
        <w:rPr>
          <w:sz w:val="24"/>
          <w:szCs w:val="24"/>
        </w:rPr>
        <w:t xml:space="preserve"> in RAN2 LS, i.e.,</w:t>
      </w:r>
      <w:r w:rsidR="00576992">
        <w:rPr>
          <w:sz w:val="24"/>
          <w:szCs w:val="24"/>
        </w:rPr>
        <w:t xml:space="preserve"> i</w:t>
      </w:r>
      <w:r w:rsidR="00576992" w:rsidRPr="00212609">
        <w:rPr>
          <w:sz w:val="24"/>
          <w:szCs w:val="24"/>
        </w:rPr>
        <w:t xml:space="preserve">nter-satellite handover with </w:t>
      </w:r>
      <w:r w:rsidR="00576992">
        <w:rPr>
          <w:sz w:val="24"/>
          <w:szCs w:val="24"/>
        </w:rPr>
        <w:t xml:space="preserve">same </w:t>
      </w:r>
      <w:r w:rsidR="00576992" w:rsidRPr="00212609">
        <w:rPr>
          <w:sz w:val="24"/>
          <w:szCs w:val="24"/>
        </w:rPr>
        <w:t>gateway/gNB</w:t>
      </w:r>
      <w:r w:rsidR="00576992">
        <w:rPr>
          <w:sz w:val="24"/>
          <w:szCs w:val="24"/>
        </w:rPr>
        <w:t xml:space="preserve"> or</w:t>
      </w:r>
      <w:r w:rsidR="00212609">
        <w:rPr>
          <w:sz w:val="24"/>
          <w:szCs w:val="24"/>
        </w:rPr>
        <w:t xml:space="preserve"> i</w:t>
      </w:r>
      <w:r w:rsidR="00212609" w:rsidRPr="00212609">
        <w:rPr>
          <w:sz w:val="24"/>
          <w:szCs w:val="24"/>
        </w:rPr>
        <w:t>nter-satellite handover with gateway/gNB switch</w:t>
      </w:r>
      <w:r w:rsidR="00212609">
        <w:rPr>
          <w:sz w:val="24"/>
          <w:szCs w:val="24"/>
        </w:rPr>
        <w:t xml:space="preserve">, both UE specific TA value and common TA value of serving cell are different from those of target cell. </w:t>
      </w:r>
    </w:p>
    <w:p w14:paraId="4EBA8056" w14:textId="6BE6ED5B" w:rsidR="00212609" w:rsidRDefault="00212609" w:rsidP="00212609">
      <w:pPr>
        <w:jc w:val="both"/>
        <w:rPr>
          <w:sz w:val="24"/>
          <w:szCs w:val="24"/>
        </w:rPr>
      </w:pPr>
      <w:r>
        <w:rPr>
          <w:sz w:val="24"/>
          <w:szCs w:val="24"/>
        </w:rPr>
        <w:t xml:space="preserve">Overall, in the last three scenarios in RAN2 LS, TA value of target cell is different from that of source cell. </w:t>
      </w:r>
    </w:p>
    <w:p w14:paraId="1E30BC74" w14:textId="1B887EC6" w:rsidR="00212609" w:rsidRPr="00212609" w:rsidRDefault="00212609" w:rsidP="00212609">
      <w:pPr>
        <w:jc w:val="both"/>
        <w:rPr>
          <w:i/>
          <w:sz w:val="24"/>
          <w:szCs w:val="24"/>
          <w:lang w:eastAsia="x-none"/>
        </w:rPr>
      </w:pPr>
      <w:r w:rsidRPr="00CC00E8">
        <w:rPr>
          <w:b/>
          <w:i/>
          <w:sz w:val="24"/>
          <w:szCs w:val="24"/>
          <w:u w:val="single"/>
        </w:rPr>
        <w:t xml:space="preserve">Observation </w:t>
      </w:r>
      <w:r>
        <w:rPr>
          <w:b/>
          <w:i/>
          <w:sz w:val="24"/>
          <w:szCs w:val="24"/>
          <w:u w:val="single"/>
        </w:rPr>
        <w:t>2</w:t>
      </w:r>
      <w:r w:rsidRPr="00CC00E8">
        <w:rPr>
          <w:b/>
          <w:i/>
          <w:sz w:val="24"/>
          <w:szCs w:val="24"/>
          <w:u w:val="single"/>
        </w:rPr>
        <w:t>:</w:t>
      </w:r>
      <w:r w:rsidRPr="00CC00E8">
        <w:rPr>
          <w:i/>
          <w:sz w:val="24"/>
          <w:szCs w:val="24"/>
          <w:lang w:eastAsia="x-none"/>
        </w:rPr>
        <w:t xml:space="preserve"> </w:t>
      </w:r>
      <w:r>
        <w:rPr>
          <w:i/>
          <w:sz w:val="24"/>
          <w:szCs w:val="24"/>
          <w:lang w:eastAsia="x-none"/>
        </w:rPr>
        <w:t xml:space="preserve">In the last three NTN handover scenarios in RAN2 LS, TA value of target cell is different from that of source cell. </w:t>
      </w:r>
    </w:p>
    <w:p w14:paraId="24D60B23" w14:textId="41D5D74C" w:rsidR="004942A7" w:rsidRDefault="00212609" w:rsidP="004942A7">
      <w:pPr>
        <w:jc w:val="both"/>
        <w:rPr>
          <w:sz w:val="24"/>
          <w:szCs w:val="24"/>
        </w:rPr>
      </w:pPr>
      <w:r>
        <w:rPr>
          <w:sz w:val="24"/>
          <w:szCs w:val="24"/>
        </w:rPr>
        <w:t>It should be noted that t</w:t>
      </w:r>
      <w:r w:rsidR="00BD362D">
        <w:rPr>
          <w:sz w:val="24"/>
          <w:szCs w:val="24"/>
        </w:rPr>
        <w:t>he satellite ephemeris and common TA</w:t>
      </w:r>
      <w:r w:rsidR="003F463C">
        <w:rPr>
          <w:sz w:val="24"/>
          <w:szCs w:val="24"/>
        </w:rPr>
        <w:t xml:space="preserve"> parameters</w:t>
      </w:r>
      <w:r w:rsidR="00BD362D">
        <w:rPr>
          <w:sz w:val="24"/>
          <w:szCs w:val="24"/>
        </w:rPr>
        <w:t xml:space="preserve"> of target cell </w:t>
      </w:r>
      <w:r w:rsidR="003F463C">
        <w:rPr>
          <w:sz w:val="24"/>
          <w:szCs w:val="24"/>
        </w:rPr>
        <w:t xml:space="preserve">are </w:t>
      </w:r>
      <w:r w:rsidR="00BD362D">
        <w:rPr>
          <w:sz w:val="24"/>
          <w:szCs w:val="24"/>
        </w:rPr>
        <w:t xml:space="preserve">included in the </w:t>
      </w:r>
      <w:r w:rsidR="003F463C" w:rsidRPr="004E30FD">
        <w:rPr>
          <w:sz w:val="24"/>
          <w:szCs w:val="24"/>
        </w:rPr>
        <w:t>handover</w:t>
      </w:r>
      <w:r w:rsidR="00BD362D" w:rsidRPr="004E30FD">
        <w:rPr>
          <w:sz w:val="24"/>
          <w:szCs w:val="24"/>
        </w:rPr>
        <w:t xml:space="preserve"> command in NR NTN</w:t>
      </w:r>
      <w:r w:rsidR="004E30FD" w:rsidRPr="004E30FD">
        <w:rPr>
          <w:sz w:val="24"/>
          <w:szCs w:val="24"/>
        </w:rPr>
        <w:t>,</w:t>
      </w:r>
      <w:r w:rsidR="004E30FD">
        <w:rPr>
          <w:sz w:val="24"/>
          <w:szCs w:val="24"/>
        </w:rPr>
        <w:t xml:space="preserve"> since the IE </w:t>
      </w:r>
      <w:r w:rsidR="004E30FD" w:rsidRPr="004E30FD">
        <w:rPr>
          <w:i/>
          <w:iCs/>
          <w:sz w:val="24"/>
          <w:szCs w:val="24"/>
        </w:rPr>
        <w:t>reconfigurationWithSync</w:t>
      </w:r>
      <w:r w:rsidR="004E30FD" w:rsidRPr="004E30FD">
        <w:rPr>
          <w:sz w:val="24"/>
          <w:szCs w:val="24"/>
        </w:rPr>
        <w:t xml:space="preserve"> contains </w:t>
      </w:r>
      <w:r w:rsidR="004E30FD" w:rsidRPr="004E30FD">
        <w:rPr>
          <w:i/>
          <w:iCs/>
          <w:sz w:val="24"/>
          <w:szCs w:val="24"/>
        </w:rPr>
        <w:t>ntn-Config</w:t>
      </w:r>
      <w:r w:rsidR="00BD362D">
        <w:rPr>
          <w:sz w:val="24"/>
          <w:szCs w:val="24"/>
        </w:rPr>
        <w:t>.</w:t>
      </w:r>
      <w:r>
        <w:rPr>
          <w:sz w:val="24"/>
          <w:szCs w:val="24"/>
        </w:rPr>
        <w:t xml:space="preserve"> With these parameters, UE is able to calculate TA value of target cell. </w:t>
      </w:r>
    </w:p>
    <w:p w14:paraId="2EAD04FF" w14:textId="7B7969A8" w:rsidR="00212609" w:rsidRDefault="0084782A" w:rsidP="004942A7">
      <w:pPr>
        <w:jc w:val="both"/>
        <w:rPr>
          <w:sz w:val="24"/>
          <w:szCs w:val="24"/>
        </w:rPr>
      </w:pPr>
      <w:r>
        <w:rPr>
          <w:sz w:val="24"/>
          <w:szCs w:val="24"/>
        </w:rPr>
        <w:t>It is required that</w:t>
      </w:r>
      <w:r w:rsidR="00212609">
        <w:rPr>
          <w:sz w:val="24"/>
          <w:szCs w:val="24"/>
        </w:rPr>
        <w:t xml:space="preserve"> UE’s</w:t>
      </w:r>
      <w:r>
        <w:rPr>
          <w:sz w:val="24"/>
          <w:szCs w:val="24"/>
        </w:rPr>
        <w:t xml:space="preserve"> initial transmission timing error shall be less than or equal to </w:t>
      </w:r>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e_NTN</m:t>
            </m:r>
          </m:sub>
        </m:sSub>
      </m:oMath>
      <w:r w:rsidR="008712D5">
        <w:rPr>
          <w:sz w:val="24"/>
          <w:szCs w:val="24"/>
        </w:rPr>
        <w:t>,</w:t>
      </w:r>
      <w:r>
        <w:rPr>
          <w:sz w:val="24"/>
          <w:szCs w:val="24"/>
        </w:rPr>
        <w:t xml:space="preserve"> where the timing error limit value </w:t>
      </w: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e_NTN</m:t>
            </m:r>
          </m:sub>
        </m:sSub>
      </m:oMath>
      <w:r>
        <w:rPr>
          <w:sz w:val="24"/>
          <w:szCs w:val="24"/>
        </w:rPr>
        <w:t xml:space="preserve"> is specified in Table 7.1C.2-1 of </w:t>
      </w:r>
      <w:r>
        <w:rPr>
          <w:sz w:val="24"/>
          <w:szCs w:val="24"/>
        </w:rPr>
        <w:fldChar w:fldCharType="begin"/>
      </w:r>
      <w:r>
        <w:rPr>
          <w:sz w:val="24"/>
          <w:szCs w:val="24"/>
        </w:rPr>
        <w:instrText xml:space="preserve"> REF _Ref109041096 \r \h </w:instrText>
      </w:r>
      <w:r>
        <w:rPr>
          <w:sz w:val="24"/>
          <w:szCs w:val="24"/>
        </w:rPr>
      </w:r>
      <w:r>
        <w:rPr>
          <w:sz w:val="24"/>
          <w:szCs w:val="24"/>
        </w:rPr>
        <w:fldChar w:fldCharType="separate"/>
      </w:r>
      <w:r w:rsidR="00AB58CB">
        <w:rPr>
          <w:sz w:val="24"/>
          <w:szCs w:val="24"/>
        </w:rPr>
        <w:t>[2]</w:t>
      </w:r>
      <w:r>
        <w:rPr>
          <w:sz w:val="24"/>
          <w:szCs w:val="24"/>
        </w:rPr>
        <w:fldChar w:fldCharType="end"/>
      </w:r>
      <w:r>
        <w:rPr>
          <w:sz w:val="24"/>
          <w:szCs w:val="24"/>
        </w:rPr>
        <w:t xml:space="preserve">, </w:t>
      </w:r>
      <w:r w:rsidR="008712D5">
        <w:rPr>
          <w:sz w:val="24"/>
          <w:szCs w:val="24"/>
        </w:rPr>
        <w:t xml:space="preserve">as </w:t>
      </w:r>
      <w:r>
        <w:rPr>
          <w:sz w:val="24"/>
          <w:szCs w:val="24"/>
        </w:rPr>
        <w:t xml:space="preserve">in </w:t>
      </w:r>
      <w:r w:rsidRPr="0084782A">
        <w:rPr>
          <w:sz w:val="24"/>
          <w:szCs w:val="24"/>
        </w:rPr>
        <w:fldChar w:fldCharType="begin"/>
      </w:r>
      <w:r w:rsidRPr="0084782A">
        <w:rPr>
          <w:sz w:val="24"/>
          <w:szCs w:val="24"/>
        </w:rPr>
        <w:instrText xml:space="preserve"> REF _Ref117932880 \h </w:instrText>
      </w:r>
      <w:r>
        <w:rPr>
          <w:sz w:val="24"/>
          <w:szCs w:val="24"/>
        </w:rPr>
        <w:instrText xml:space="preserve"> \* MERGEFORMAT </w:instrText>
      </w:r>
      <w:r w:rsidRPr="0084782A">
        <w:rPr>
          <w:sz w:val="24"/>
          <w:szCs w:val="24"/>
        </w:rPr>
      </w:r>
      <w:r w:rsidRPr="0084782A">
        <w:rPr>
          <w:sz w:val="24"/>
          <w:szCs w:val="24"/>
        </w:rPr>
        <w:fldChar w:fldCharType="separate"/>
      </w:r>
      <w:r w:rsidR="00AB58CB" w:rsidRPr="00AB58CB">
        <w:rPr>
          <w:sz w:val="24"/>
          <w:szCs w:val="24"/>
        </w:rPr>
        <w:t xml:space="preserve">Figure </w:t>
      </w:r>
      <w:r w:rsidR="00AB58CB" w:rsidRPr="00AB58CB">
        <w:rPr>
          <w:noProof/>
          <w:sz w:val="24"/>
          <w:szCs w:val="24"/>
        </w:rPr>
        <w:t>1</w:t>
      </w:r>
      <w:r w:rsidRPr="0084782A">
        <w:rPr>
          <w:sz w:val="24"/>
          <w:szCs w:val="24"/>
        </w:rPr>
        <w:fldChar w:fldCharType="end"/>
      </w:r>
      <w:r w:rsidRPr="0084782A">
        <w:rPr>
          <w:sz w:val="24"/>
          <w:szCs w:val="24"/>
        </w:rPr>
        <w:t xml:space="preserve">. </w:t>
      </w:r>
      <w:r>
        <w:rPr>
          <w:sz w:val="24"/>
          <w:szCs w:val="24"/>
        </w:rPr>
        <w:t xml:space="preserve">For example, for uplink signals with SCS=15 or 30 kHz, the </w:t>
      </w: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e_NTN</m:t>
            </m:r>
          </m:sub>
        </m:sSub>
      </m:oMath>
      <w:r>
        <w:rPr>
          <w:sz w:val="24"/>
          <w:szCs w:val="24"/>
        </w:rPr>
        <w:t xml:space="preserve"> value is </w:t>
      </w:r>
      <m:oMath>
        <m:r>
          <w:rPr>
            <w:rFonts w:ascii="Cambria Math" w:hAnsi="Cambria Math"/>
            <w:sz w:val="24"/>
            <w:szCs w:val="24"/>
          </w:rPr>
          <m:t>29</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s</m:t>
            </m:r>
          </m:sub>
        </m:sSub>
      </m:oMath>
      <w:r>
        <w:rPr>
          <w:sz w:val="24"/>
          <w:szCs w:val="24"/>
        </w:rPr>
        <w:t xml:space="preserve"> or </w:t>
      </w:r>
      <m:oMath>
        <m:r>
          <w:rPr>
            <w:rFonts w:ascii="Cambria Math" w:hAnsi="Cambria Math"/>
            <w:sz w:val="24"/>
            <w:szCs w:val="24"/>
          </w:rPr>
          <m:t>24</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s</m:t>
            </m:r>
          </m:sub>
        </m:sSub>
      </m:oMath>
      <w:r>
        <w:rPr>
          <w:sz w:val="24"/>
          <w:szCs w:val="24"/>
        </w:rPr>
        <w:t xml:space="preserve"> when SSB signals have SCS=15 kHz. Th</w:t>
      </w:r>
      <w:r w:rsidR="0014659D">
        <w:rPr>
          <w:sz w:val="24"/>
          <w:szCs w:val="24"/>
        </w:rPr>
        <w:t>ese timing error limits</w:t>
      </w:r>
      <w:r>
        <w:rPr>
          <w:sz w:val="24"/>
          <w:szCs w:val="24"/>
        </w:rPr>
        <w:t xml:space="preserve"> </w:t>
      </w:r>
      <w:r w:rsidR="0014659D">
        <w:rPr>
          <w:sz w:val="24"/>
          <w:szCs w:val="24"/>
        </w:rPr>
        <w:t>are</w:t>
      </w:r>
      <w:r>
        <w:rPr>
          <w:sz w:val="24"/>
          <w:szCs w:val="24"/>
        </w:rPr>
        <w:t xml:space="preserve"> about </w:t>
      </w:r>
      <w:r w:rsidR="0014659D">
        <w:rPr>
          <w:sz w:val="24"/>
          <w:szCs w:val="24"/>
        </w:rPr>
        <w:t xml:space="preserve">20% or </w:t>
      </w:r>
      <w:r>
        <w:rPr>
          <w:sz w:val="24"/>
          <w:szCs w:val="24"/>
        </w:rPr>
        <w:t>3</w:t>
      </w:r>
      <w:r w:rsidR="0014659D">
        <w:rPr>
          <w:sz w:val="24"/>
          <w:szCs w:val="24"/>
        </w:rPr>
        <w:t>3</w:t>
      </w:r>
      <w:r>
        <w:rPr>
          <w:sz w:val="24"/>
          <w:szCs w:val="24"/>
        </w:rPr>
        <w:t>% of the</w:t>
      </w:r>
      <w:r w:rsidR="0014659D">
        <w:rPr>
          <w:sz w:val="24"/>
          <w:szCs w:val="24"/>
        </w:rPr>
        <w:t xml:space="preserve"> respective</w:t>
      </w:r>
      <w:r>
        <w:rPr>
          <w:sz w:val="24"/>
          <w:szCs w:val="24"/>
        </w:rPr>
        <w:t xml:space="preserve"> CP length</w:t>
      </w:r>
      <w:r w:rsidR="0014659D">
        <w:rPr>
          <w:sz w:val="24"/>
          <w:szCs w:val="24"/>
        </w:rPr>
        <w:t xml:space="preserve">s. </w:t>
      </w:r>
      <w:r>
        <w:rPr>
          <w:sz w:val="24"/>
          <w:szCs w:val="24"/>
        </w:rPr>
        <w:t xml:space="preserve">  </w:t>
      </w:r>
    </w:p>
    <w:p w14:paraId="4C781ED8" w14:textId="77777777" w:rsidR="0084782A" w:rsidRDefault="0084782A" w:rsidP="0084782A">
      <w:pPr>
        <w:keepNext/>
        <w:jc w:val="center"/>
      </w:pPr>
      <w:r w:rsidRPr="0084782A">
        <w:rPr>
          <w:noProof/>
          <w:sz w:val="24"/>
          <w:szCs w:val="24"/>
        </w:rPr>
        <w:drawing>
          <wp:inline distT="0" distB="0" distL="0" distR="0" wp14:anchorId="2D6F1B35" wp14:editId="2C9867BF">
            <wp:extent cx="4831976" cy="1902412"/>
            <wp:effectExtent l="0" t="0" r="0" b="317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1"/>
                    <a:stretch>
                      <a:fillRect/>
                    </a:stretch>
                  </pic:blipFill>
                  <pic:spPr>
                    <a:xfrm>
                      <a:off x="0" y="0"/>
                      <a:ext cx="4831976" cy="1902412"/>
                    </a:xfrm>
                    <a:prstGeom prst="rect">
                      <a:avLst/>
                    </a:prstGeom>
                  </pic:spPr>
                </pic:pic>
              </a:graphicData>
            </a:graphic>
          </wp:inline>
        </w:drawing>
      </w:r>
    </w:p>
    <w:p w14:paraId="0DE1E275" w14:textId="339E6150" w:rsidR="003A2F09" w:rsidRPr="0014659D" w:rsidRDefault="0084782A" w:rsidP="0014659D">
      <w:pPr>
        <w:pStyle w:val="Caption"/>
        <w:jc w:val="center"/>
        <w:rPr>
          <w:sz w:val="24"/>
          <w:szCs w:val="24"/>
        </w:rPr>
      </w:pPr>
      <w:bookmarkStart w:id="0" w:name="_Ref117932880"/>
      <w:r>
        <w:t xml:space="preserve">Figure </w:t>
      </w:r>
      <w:fldSimple w:instr=" SEQ Figure \* ARABIC ">
        <w:r w:rsidR="00AB58CB">
          <w:rPr>
            <w:noProof/>
          </w:rPr>
          <w:t>1</w:t>
        </w:r>
      </w:fldSimple>
      <w:bookmarkEnd w:id="0"/>
      <w:r>
        <w:t>: Timing error limit for NTN</w:t>
      </w:r>
    </w:p>
    <w:p w14:paraId="3FED8442" w14:textId="02B6B6F7" w:rsidR="003A2F09" w:rsidRPr="0014659D" w:rsidRDefault="0014659D" w:rsidP="00601729">
      <w:pPr>
        <w:jc w:val="both"/>
        <w:rPr>
          <w:iCs/>
          <w:sz w:val="24"/>
          <w:szCs w:val="24"/>
          <w:lang w:eastAsia="x-none"/>
        </w:rPr>
      </w:pPr>
      <w:r>
        <w:rPr>
          <w:iCs/>
          <w:sz w:val="24"/>
          <w:szCs w:val="24"/>
          <w:lang w:eastAsia="x-none"/>
        </w:rPr>
        <w:t xml:space="preserve">Note the timing error limit in UE’s initial transmission timing error is based on satellite ephemeris and common TA parameters of target cell. With satellite ephemeris and common TA parameters of target cell contained in handover command, in RACH-less handover, the first uplink transmissions to target cell (i.e., handover complete) is supposed to have the same timing error limit. </w:t>
      </w:r>
    </w:p>
    <w:p w14:paraId="746E4674" w14:textId="3695D954" w:rsidR="0062614E" w:rsidRDefault="0062614E" w:rsidP="0062614E">
      <w:pPr>
        <w:jc w:val="both"/>
        <w:rPr>
          <w:i/>
          <w:sz w:val="24"/>
          <w:szCs w:val="24"/>
          <w:lang w:eastAsia="x-none"/>
        </w:rPr>
      </w:pPr>
      <w:r w:rsidRPr="00CC00E8">
        <w:rPr>
          <w:b/>
          <w:i/>
          <w:sz w:val="24"/>
          <w:szCs w:val="24"/>
          <w:u w:val="single"/>
        </w:rPr>
        <w:t xml:space="preserve">Observation </w:t>
      </w:r>
      <w:r>
        <w:rPr>
          <w:b/>
          <w:i/>
          <w:sz w:val="24"/>
          <w:szCs w:val="24"/>
          <w:u w:val="single"/>
        </w:rPr>
        <w:t>3</w:t>
      </w:r>
      <w:r w:rsidRPr="00CC00E8">
        <w:rPr>
          <w:b/>
          <w:i/>
          <w:sz w:val="24"/>
          <w:szCs w:val="24"/>
          <w:u w:val="single"/>
        </w:rPr>
        <w:t>:</w:t>
      </w:r>
      <w:r w:rsidRPr="00CC00E8">
        <w:rPr>
          <w:i/>
          <w:sz w:val="24"/>
          <w:szCs w:val="24"/>
          <w:lang w:eastAsia="x-none"/>
        </w:rPr>
        <w:t xml:space="preserve"> </w:t>
      </w:r>
      <w:r>
        <w:rPr>
          <w:i/>
          <w:sz w:val="24"/>
          <w:szCs w:val="24"/>
          <w:lang w:eastAsia="x-none"/>
        </w:rPr>
        <w:t xml:space="preserve">If RACH-less handover is applied for NTN, the TA value used in the uplink transmission of handover complete to target cell is derived from the indicated uplink synchronization assistance information of target cell contained in TA command, with timing error less than 33% of CP length.   </w:t>
      </w:r>
    </w:p>
    <w:p w14:paraId="2DBF3CD1" w14:textId="2DD25136" w:rsidR="0062614E" w:rsidRPr="0062614E" w:rsidRDefault="0062614E" w:rsidP="0062614E">
      <w:pPr>
        <w:jc w:val="both"/>
        <w:rPr>
          <w:i/>
          <w:sz w:val="24"/>
          <w:szCs w:val="24"/>
          <w:lang w:eastAsia="x-none"/>
        </w:rPr>
      </w:pPr>
      <w:r>
        <w:rPr>
          <w:iCs/>
          <w:sz w:val="24"/>
          <w:szCs w:val="24"/>
          <w:lang w:eastAsia="x-none"/>
        </w:rPr>
        <w:t xml:space="preserve">If the timing error limits are up to 33% of the CP length, the target cell can decode the first uplink transmission of handover complete. After the initial uplink transmission, the target cell is able to </w:t>
      </w:r>
      <w:r w:rsidR="008712D5">
        <w:rPr>
          <w:iCs/>
          <w:sz w:val="24"/>
          <w:szCs w:val="24"/>
          <w:lang w:eastAsia="x-none"/>
        </w:rPr>
        <w:t>use</w:t>
      </w:r>
      <w:r>
        <w:rPr>
          <w:iCs/>
          <w:sz w:val="24"/>
          <w:szCs w:val="24"/>
          <w:lang w:eastAsia="x-none"/>
        </w:rPr>
        <w:t xml:space="preserve"> closed loop TA control of the UE. Hence, it is possible to support RACH-less handover in the last three scenarios in RAN2 LS. </w:t>
      </w:r>
      <w:r w:rsidR="008712D5">
        <w:rPr>
          <w:iCs/>
          <w:sz w:val="24"/>
          <w:szCs w:val="24"/>
          <w:lang w:eastAsia="x-none"/>
        </w:rPr>
        <w:t xml:space="preserve">Hence, we have the following proposal. </w:t>
      </w:r>
    </w:p>
    <w:p w14:paraId="3F533599" w14:textId="47805EFA" w:rsidR="00D36F16" w:rsidRDefault="00BE753A" w:rsidP="004E30FD">
      <w:pPr>
        <w:spacing w:after="0"/>
        <w:jc w:val="both"/>
        <w:rPr>
          <w:i/>
          <w:sz w:val="24"/>
          <w:szCs w:val="24"/>
          <w:lang w:eastAsia="x-none"/>
        </w:rPr>
      </w:pPr>
      <w:r>
        <w:rPr>
          <w:b/>
          <w:i/>
          <w:sz w:val="24"/>
          <w:szCs w:val="24"/>
          <w:u w:val="single"/>
        </w:rPr>
        <w:lastRenderedPageBreak/>
        <w:t>Proposal 1</w:t>
      </w:r>
      <w:r w:rsidRPr="00CC00E8">
        <w:rPr>
          <w:b/>
          <w:i/>
          <w:sz w:val="24"/>
          <w:szCs w:val="24"/>
          <w:u w:val="single"/>
        </w:rPr>
        <w:t>:</w:t>
      </w:r>
      <w:r w:rsidR="003A2F09">
        <w:rPr>
          <w:i/>
          <w:sz w:val="24"/>
          <w:szCs w:val="24"/>
          <w:lang w:eastAsia="x-none"/>
        </w:rPr>
        <w:t xml:space="preserve"> RACH-less handover is possible for all the following listed scenarios:</w:t>
      </w:r>
    </w:p>
    <w:p w14:paraId="3318F9F5" w14:textId="77777777" w:rsidR="003A2F09" w:rsidRPr="003A2F09" w:rsidRDefault="003A2F09" w:rsidP="003A2F09">
      <w:pPr>
        <w:pStyle w:val="ListParagraph"/>
        <w:numPr>
          <w:ilvl w:val="0"/>
          <w:numId w:val="13"/>
        </w:numPr>
        <w:jc w:val="both"/>
        <w:rPr>
          <w:i/>
          <w:iCs/>
          <w:lang w:val="en-US"/>
        </w:rPr>
      </w:pPr>
      <w:r w:rsidRPr="003A2F09">
        <w:rPr>
          <w:i/>
          <w:iCs/>
          <w:lang w:val="en-US"/>
        </w:rPr>
        <w:t>Intra-satellite handover with the same feeder link, i.e., with same gateway/gNB</w:t>
      </w:r>
    </w:p>
    <w:p w14:paraId="6039F9ED" w14:textId="77777777" w:rsidR="003A2F09" w:rsidRPr="003A2F09" w:rsidRDefault="003A2F09" w:rsidP="003A2F09">
      <w:pPr>
        <w:pStyle w:val="ListParagraph"/>
        <w:numPr>
          <w:ilvl w:val="0"/>
          <w:numId w:val="13"/>
        </w:numPr>
        <w:jc w:val="both"/>
        <w:rPr>
          <w:i/>
          <w:iCs/>
          <w:lang w:val="en-US"/>
        </w:rPr>
      </w:pPr>
      <w:r w:rsidRPr="003A2F09">
        <w:rPr>
          <w:i/>
          <w:iCs/>
          <w:lang w:val="en-US"/>
        </w:rPr>
        <w:t>Intra-satellite handover with different feeder links, i.e, with gateway/gNB switch</w:t>
      </w:r>
    </w:p>
    <w:p w14:paraId="2B35F5B4" w14:textId="77777777" w:rsidR="003A2F09" w:rsidRPr="003A2F09" w:rsidRDefault="003A2F09" w:rsidP="003A2F09">
      <w:pPr>
        <w:pStyle w:val="ListParagraph"/>
        <w:numPr>
          <w:ilvl w:val="0"/>
          <w:numId w:val="13"/>
        </w:numPr>
        <w:jc w:val="both"/>
        <w:rPr>
          <w:i/>
          <w:iCs/>
          <w:lang w:val="en-US" w:eastAsia="en-US"/>
        </w:rPr>
      </w:pPr>
      <w:r w:rsidRPr="003A2F09">
        <w:rPr>
          <w:i/>
          <w:iCs/>
          <w:lang w:val="en-US" w:eastAsia="en-US"/>
        </w:rPr>
        <w:t>Inter-satellite handover with gateway/gNB switch</w:t>
      </w:r>
    </w:p>
    <w:p w14:paraId="6AFFEEED" w14:textId="27E79F75" w:rsidR="003A2F09" w:rsidRDefault="003A2F09" w:rsidP="0089263F">
      <w:pPr>
        <w:pStyle w:val="ListParagraph"/>
        <w:numPr>
          <w:ilvl w:val="0"/>
          <w:numId w:val="13"/>
        </w:numPr>
        <w:jc w:val="both"/>
        <w:rPr>
          <w:i/>
          <w:iCs/>
          <w:lang w:val="en-US" w:eastAsia="en-US"/>
        </w:rPr>
      </w:pPr>
      <w:r w:rsidRPr="003A2F09">
        <w:rPr>
          <w:i/>
          <w:iCs/>
          <w:lang w:val="en-US" w:eastAsia="en-US"/>
        </w:rPr>
        <w:t>Inter-satellite handover with same gateway/gNB</w:t>
      </w:r>
    </w:p>
    <w:p w14:paraId="7BDD02F3" w14:textId="77777777" w:rsidR="004E30FD" w:rsidRPr="004E30FD" w:rsidRDefault="004E30FD" w:rsidP="004E30FD">
      <w:pPr>
        <w:pStyle w:val="ListParagraph"/>
        <w:jc w:val="both"/>
        <w:rPr>
          <w:i/>
          <w:iCs/>
          <w:lang w:val="en-US" w:eastAsia="en-US"/>
        </w:rPr>
      </w:pPr>
    </w:p>
    <w:p w14:paraId="54D93CBB" w14:textId="5CA1EE4C" w:rsidR="00BE753A" w:rsidRPr="00CD474C" w:rsidRDefault="00CD474C" w:rsidP="0089263F">
      <w:pPr>
        <w:jc w:val="both"/>
        <w:rPr>
          <w:iCs/>
          <w:sz w:val="24"/>
          <w:szCs w:val="24"/>
          <w:lang w:eastAsia="x-none"/>
        </w:rPr>
      </w:pPr>
      <w:r w:rsidRPr="004E30FD">
        <w:rPr>
          <w:iCs/>
          <w:sz w:val="24"/>
          <w:szCs w:val="24"/>
          <w:lang w:eastAsia="x-none"/>
        </w:rPr>
        <w:t xml:space="preserve">The corresponding draft reply LS on </w:t>
      </w:r>
      <w:r w:rsidR="00E029FC" w:rsidRPr="004E30FD">
        <w:rPr>
          <w:iCs/>
          <w:sz w:val="24"/>
          <w:szCs w:val="24"/>
          <w:lang w:eastAsia="x-none"/>
        </w:rPr>
        <w:t>RACH-less handover in NTN</w:t>
      </w:r>
      <w:r w:rsidRPr="004E30FD">
        <w:rPr>
          <w:iCs/>
          <w:sz w:val="24"/>
          <w:szCs w:val="24"/>
          <w:lang w:eastAsia="x-none"/>
        </w:rPr>
        <w:t xml:space="preserve"> is in</w:t>
      </w:r>
      <w:r w:rsidR="0062614E" w:rsidRPr="004E30FD">
        <w:rPr>
          <w:iCs/>
          <w:sz w:val="24"/>
          <w:szCs w:val="24"/>
          <w:lang w:eastAsia="x-none"/>
        </w:rPr>
        <w:t xml:space="preserve"> </w:t>
      </w:r>
      <w:r w:rsidR="0062614E" w:rsidRPr="004E30FD">
        <w:rPr>
          <w:iCs/>
          <w:sz w:val="24"/>
          <w:szCs w:val="24"/>
          <w:lang w:eastAsia="x-none"/>
        </w:rPr>
        <w:fldChar w:fldCharType="begin"/>
      </w:r>
      <w:r w:rsidR="0062614E" w:rsidRPr="004E30FD">
        <w:rPr>
          <w:iCs/>
          <w:sz w:val="24"/>
          <w:szCs w:val="24"/>
          <w:lang w:eastAsia="x-none"/>
        </w:rPr>
        <w:instrText xml:space="preserve"> REF _Ref117934946 \r \h </w:instrText>
      </w:r>
      <w:r w:rsidR="004E30FD">
        <w:rPr>
          <w:iCs/>
          <w:sz w:val="24"/>
          <w:szCs w:val="24"/>
          <w:lang w:eastAsia="x-none"/>
        </w:rPr>
        <w:instrText xml:space="preserve"> \* MERGEFORMAT </w:instrText>
      </w:r>
      <w:r w:rsidR="0062614E" w:rsidRPr="004E30FD">
        <w:rPr>
          <w:iCs/>
          <w:sz w:val="24"/>
          <w:szCs w:val="24"/>
          <w:lang w:eastAsia="x-none"/>
        </w:rPr>
      </w:r>
      <w:r w:rsidR="0062614E" w:rsidRPr="004E30FD">
        <w:rPr>
          <w:iCs/>
          <w:sz w:val="24"/>
          <w:szCs w:val="24"/>
          <w:lang w:eastAsia="x-none"/>
        </w:rPr>
        <w:fldChar w:fldCharType="separate"/>
      </w:r>
      <w:r w:rsidR="00AB58CB">
        <w:rPr>
          <w:iCs/>
          <w:sz w:val="24"/>
          <w:szCs w:val="24"/>
          <w:lang w:eastAsia="x-none"/>
        </w:rPr>
        <w:t>[3]</w:t>
      </w:r>
      <w:r w:rsidR="0062614E" w:rsidRPr="004E30FD">
        <w:rPr>
          <w:iCs/>
          <w:sz w:val="24"/>
          <w:szCs w:val="24"/>
          <w:lang w:eastAsia="x-none"/>
        </w:rPr>
        <w:fldChar w:fldCharType="end"/>
      </w:r>
      <w:r w:rsidRPr="004E30FD">
        <w:rPr>
          <w:iCs/>
          <w:sz w:val="24"/>
          <w:szCs w:val="24"/>
          <w:lang w:eastAsia="x-none"/>
        </w:rPr>
        <w:t>.</w:t>
      </w:r>
      <w:r>
        <w:rPr>
          <w:iCs/>
          <w:sz w:val="24"/>
          <w:szCs w:val="24"/>
          <w:lang w:eastAsia="x-none"/>
        </w:rPr>
        <w:t xml:space="preserve"> </w:t>
      </w:r>
    </w:p>
    <w:p w14:paraId="12B33CFD" w14:textId="5D34282C" w:rsidR="00390F36" w:rsidRPr="00A6576F" w:rsidRDefault="00390F36" w:rsidP="00390F36">
      <w:pPr>
        <w:pStyle w:val="Heading1"/>
      </w:pPr>
      <w:r w:rsidRPr="00A6576F">
        <w:t>Conclusion</w:t>
      </w:r>
    </w:p>
    <w:p w14:paraId="3D08BDF3" w14:textId="665DA1B2" w:rsidR="00BE753A" w:rsidRDefault="00BE753A" w:rsidP="00BE753A">
      <w:pPr>
        <w:jc w:val="both"/>
        <w:rPr>
          <w:sz w:val="24"/>
          <w:szCs w:val="24"/>
        </w:rPr>
      </w:pPr>
      <w:r w:rsidRPr="00BE753A">
        <w:rPr>
          <w:sz w:val="24"/>
          <w:szCs w:val="24"/>
        </w:rPr>
        <w:t xml:space="preserve">In this contribution, we provided our views on </w:t>
      </w:r>
      <w:r w:rsidR="003A2F09">
        <w:rPr>
          <w:sz w:val="24"/>
          <w:szCs w:val="24"/>
        </w:rPr>
        <w:t>the possibility of RACH-less handover in various NTN scenarios</w:t>
      </w:r>
      <w:r w:rsidRPr="00BE753A">
        <w:rPr>
          <w:sz w:val="24"/>
          <w:szCs w:val="24"/>
        </w:rPr>
        <w:t xml:space="preserve">. Our </w:t>
      </w:r>
      <w:r>
        <w:rPr>
          <w:sz w:val="24"/>
          <w:szCs w:val="24"/>
        </w:rPr>
        <w:t xml:space="preserve">observations and </w:t>
      </w:r>
      <w:r w:rsidRPr="00BE753A">
        <w:rPr>
          <w:sz w:val="24"/>
          <w:szCs w:val="24"/>
        </w:rPr>
        <w:t>proposal are as follows:</w:t>
      </w:r>
    </w:p>
    <w:p w14:paraId="31112200" w14:textId="3E18F61B" w:rsidR="0062614E" w:rsidRPr="0062614E" w:rsidRDefault="0062614E" w:rsidP="00BE753A">
      <w:pPr>
        <w:jc w:val="both"/>
        <w:rPr>
          <w:i/>
          <w:sz w:val="24"/>
          <w:szCs w:val="24"/>
          <w:lang w:eastAsia="x-none"/>
        </w:rPr>
      </w:pPr>
      <w:r w:rsidRPr="00CC00E8">
        <w:rPr>
          <w:b/>
          <w:i/>
          <w:sz w:val="24"/>
          <w:szCs w:val="24"/>
          <w:u w:val="single"/>
        </w:rPr>
        <w:t>Observation 1:</w:t>
      </w:r>
      <w:r w:rsidRPr="00CC00E8">
        <w:rPr>
          <w:i/>
          <w:sz w:val="24"/>
          <w:szCs w:val="24"/>
          <w:lang w:eastAsia="x-none"/>
        </w:rPr>
        <w:t xml:space="preserve"> </w:t>
      </w:r>
      <w:r>
        <w:rPr>
          <w:i/>
          <w:sz w:val="24"/>
          <w:szCs w:val="24"/>
          <w:lang w:eastAsia="x-none"/>
        </w:rPr>
        <w:t xml:space="preserve">For intra-satellite handover with the same feeder link, the TA value of target cell is equal to the TA value of source cell. </w:t>
      </w:r>
    </w:p>
    <w:p w14:paraId="5FD631B0" w14:textId="403EB828" w:rsidR="0062614E" w:rsidRPr="0062614E" w:rsidRDefault="0062614E" w:rsidP="00BE753A">
      <w:pPr>
        <w:jc w:val="both"/>
        <w:rPr>
          <w:i/>
          <w:sz w:val="24"/>
          <w:szCs w:val="24"/>
          <w:lang w:eastAsia="x-none"/>
        </w:rPr>
      </w:pPr>
      <w:r w:rsidRPr="00CC00E8">
        <w:rPr>
          <w:b/>
          <w:i/>
          <w:sz w:val="24"/>
          <w:szCs w:val="24"/>
          <w:u w:val="single"/>
        </w:rPr>
        <w:t xml:space="preserve">Observation </w:t>
      </w:r>
      <w:r>
        <w:rPr>
          <w:b/>
          <w:i/>
          <w:sz w:val="24"/>
          <w:szCs w:val="24"/>
          <w:u w:val="single"/>
        </w:rPr>
        <w:t>2</w:t>
      </w:r>
      <w:r w:rsidRPr="00CC00E8">
        <w:rPr>
          <w:b/>
          <w:i/>
          <w:sz w:val="24"/>
          <w:szCs w:val="24"/>
          <w:u w:val="single"/>
        </w:rPr>
        <w:t>:</w:t>
      </w:r>
      <w:r w:rsidRPr="00CC00E8">
        <w:rPr>
          <w:i/>
          <w:sz w:val="24"/>
          <w:szCs w:val="24"/>
          <w:lang w:eastAsia="x-none"/>
        </w:rPr>
        <w:t xml:space="preserve"> </w:t>
      </w:r>
      <w:r>
        <w:rPr>
          <w:i/>
          <w:sz w:val="24"/>
          <w:szCs w:val="24"/>
          <w:lang w:eastAsia="x-none"/>
        </w:rPr>
        <w:t xml:space="preserve">In the last three NTN handover scenarios in RAN2 LS, TA value of target cell is different from that of source cell. </w:t>
      </w:r>
    </w:p>
    <w:p w14:paraId="5FF7E3A8" w14:textId="59F77932" w:rsidR="0062614E" w:rsidRPr="0062614E" w:rsidRDefault="0062614E" w:rsidP="00BE753A">
      <w:pPr>
        <w:jc w:val="both"/>
        <w:rPr>
          <w:i/>
          <w:sz w:val="24"/>
          <w:szCs w:val="24"/>
          <w:lang w:eastAsia="x-none"/>
        </w:rPr>
      </w:pPr>
      <w:r w:rsidRPr="00CC00E8">
        <w:rPr>
          <w:b/>
          <w:i/>
          <w:sz w:val="24"/>
          <w:szCs w:val="24"/>
          <w:u w:val="single"/>
        </w:rPr>
        <w:t xml:space="preserve">Observation </w:t>
      </w:r>
      <w:r>
        <w:rPr>
          <w:b/>
          <w:i/>
          <w:sz w:val="24"/>
          <w:szCs w:val="24"/>
          <w:u w:val="single"/>
        </w:rPr>
        <w:t>3</w:t>
      </w:r>
      <w:r w:rsidRPr="00CC00E8">
        <w:rPr>
          <w:b/>
          <w:i/>
          <w:sz w:val="24"/>
          <w:szCs w:val="24"/>
          <w:u w:val="single"/>
        </w:rPr>
        <w:t>:</w:t>
      </w:r>
      <w:r w:rsidRPr="00CC00E8">
        <w:rPr>
          <w:i/>
          <w:sz w:val="24"/>
          <w:szCs w:val="24"/>
          <w:lang w:eastAsia="x-none"/>
        </w:rPr>
        <w:t xml:space="preserve"> </w:t>
      </w:r>
      <w:r>
        <w:rPr>
          <w:i/>
          <w:sz w:val="24"/>
          <w:szCs w:val="24"/>
          <w:lang w:eastAsia="x-none"/>
        </w:rPr>
        <w:t xml:space="preserve">If RACH-less handover is applied for NTN, the TA value used in the uplink transmission of handover complete to target cell is derived from the indicated uplink synchronization assistance information of target cell contained in TA command, with timing error less than 33% of CP length.   </w:t>
      </w:r>
    </w:p>
    <w:p w14:paraId="0E707BA5" w14:textId="77777777" w:rsidR="004E30FD" w:rsidRDefault="004E30FD" w:rsidP="004E30FD">
      <w:pPr>
        <w:spacing w:after="0"/>
        <w:jc w:val="both"/>
        <w:rPr>
          <w:i/>
          <w:sz w:val="24"/>
          <w:szCs w:val="24"/>
          <w:lang w:eastAsia="x-none"/>
        </w:rPr>
      </w:pPr>
      <w:r>
        <w:rPr>
          <w:b/>
          <w:i/>
          <w:sz w:val="24"/>
          <w:szCs w:val="24"/>
          <w:u w:val="single"/>
        </w:rPr>
        <w:t>Proposal 1</w:t>
      </w:r>
      <w:r w:rsidRPr="00CC00E8">
        <w:rPr>
          <w:b/>
          <w:i/>
          <w:sz w:val="24"/>
          <w:szCs w:val="24"/>
          <w:u w:val="single"/>
        </w:rPr>
        <w:t>:</w:t>
      </w:r>
      <w:r>
        <w:rPr>
          <w:i/>
          <w:sz w:val="24"/>
          <w:szCs w:val="24"/>
          <w:lang w:eastAsia="x-none"/>
        </w:rPr>
        <w:t xml:space="preserve"> RACH-less handover is possible for all the following listed scenarios:</w:t>
      </w:r>
    </w:p>
    <w:p w14:paraId="0C44227D" w14:textId="77777777" w:rsidR="004E30FD" w:rsidRPr="003A2F09" w:rsidRDefault="004E30FD" w:rsidP="004E30FD">
      <w:pPr>
        <w:pStyle w:val="ListParagraph"/>
        <w:numPr>
          <w:ilvl w:val="0"/>
          <w:numId w:val="13"/>
        </w:numPr>
        <w:jc w:val="both"/>
        <w:rPr>
          <w:i/>
          <w:iCs/>
          <w:lang w:val="en-US"/>
        </w:rPr>
      </w:pPr>
      <w:r w:rsidRPr="003A2F09">
        <w:rPr>
          <w:i/>
          <w:iCs/>
          <w:lang w:val="en-US"/>
        </w:rPr>
        <w:t>Intra-satellite handover with the same feeder link, i.e., with same gateway/gNB</w:t>
      </w:r>
    </w:p>
    <w:p w14:paraId="2CEBDC12" w14:textId="77777777" w:rsidR="004E30FD" w:rsidRPr="003A2F09" w:rsidRDefault="004E30FD" w:rsidP="004E30FD">
      <w:pPr>
        <w:pStyle w:val="ListParagraph"/>
        <w:numPr>
          <w:ilvl w:val="0"/>
          <w:numId w:val="13"/>
        </w:numPr>
        <w:jc w:val="both"/>
        <w:rPr>
          <w:i/>
          <w:iCs/>
          <w:lang w:val="en-US"/>
        </w:rPr>
      </w:pPr>
      <w:r w:rsidRPr="003A2F09">
        <w:rPr>
          <w:i/>
          <w:iCs/>
          <w:lang w:val="en-US"/>
        </w:rPr>
        <w:t>Intra-satellite handover with different feeder links, i.e, with gateway/gNB switch</w:t>
      </w:r>
    </w:p>
    <w:p w14:paraId="6F665D07" w14:textId="77777777" w:rsidR="004E30FD" w:rsidRPr="003A2F09" w:rsidRDefault="004E30FD" w:rsidP="004E30FD">
      <w:pPr>
        <w:pStyle w:val="ListParagraph"/>
        <w:numPr>
          <w:ilvl w:val="0"/>
          <w:numId w:val="13"/>
        </w:numPr>
        <w:jc w:val="both"/>
        <w:rPr>
          <w:i/>
          <w:iCs/>
          <w:lang w:val="en-US" w:eastAsia="en-US"/>
        </w:rPr>
      </w:pPr>
      <w:r w:rsidRPr="003A2F09">
        <w:rPr>
          <w:i/>
          <w:iCs/>
          <w:lang w:val="en-US" w:eastAsia="en-US"/>
        </w:rPr>
        <w:t>Inter-satellite handover with gateway/gNB switch</w:t>
      </w:r>
    </w:p>
    <w:p w14:paraId="450BC21D" w14:textId="77777777" w:rsidR="004E30FD" w:rsidRDefault="004E30FD" w:rsidP="004E30FD">
      <w:pPr>
        <w:pStyle w:val="ListParagraph"/>
        <w:numPr>
          <w:ilvl w:val="0"/>
          <w:numId w:val="13"/>
        </w:numPr>
        <w:jc w:val="both"/>
        <w:rPr>
          <w:i/>
          <w:iCs/>
          <w:lang w:val="en-US" w:eastAsia="en-US"/>
        </w:rPr>
      </w:pPr>
      <w:r w:rsidRPr="003A2F09">
        <w:rPr>
          <w:i/>
          <w:iCs/>
          <w:lang w:val="en-US" w:eastAsia="en-US"/>
        </w:rPr>
        <w:t>Inter-satellite handover with same gateway/gNB</w:t>
      </w:r>
    </w:p>
    <w:p w14:paraId="13BE573A" w14:textId="77777777" w:rsidR="00390F36" w:rsidRPr="00A6576F" w:rsidRDefault="00390F36" w:rsidP="00390F36">
      <w:pPr>
        <w:pStyle w:val="Heading1"/>
      </w:pPr>
      <w:r w:rsidRPr="00A6576F">
        <w:t>References</w:t>
      </w:r>
    </w:p>
    <w:p w14:paraId="08251188" w14:textId="59202329" w:rsidR="00390F36" w:rsidRDefault="00390F36">
      <w:pPr>
        <w:numPr>
          <w:ilvl w:val="0"/>
          <w:numId w:val="5"/>
        </w:numPr>
        <w:tabs>
          <w:tab w:val="clear" w:pos="657"/>
        </w:tabs>
        <w:spacing w:before="100" w:beforeAutospacing="1" w:after="120"/>
        <w:ind w:left="562" w:hanging="562"/>
        <w:jc w:val="both"/>
        <w:rPr>
          <w:sz w:val="24"/>
          <w:szCs w:val="24"/>
        </w:rPr>
      </w:pPr>
      <w:bookmarkStart w:id="1" w:name="_Ref59982016"/>
      <w:bookmarkStart w:id="2" w:name="_Ref78543045"/>
      <w:bookmarkStart w:id="3" w:name="_Ref49784738"/>
      <w:bookmarkStart w:id="4" w:name="_Ref29545847"/>
      <w:r w:rsidRPr="0089263F">
        <w:rPr>
          <w:sz w:val="24"/>
          <w:szCs w:val="24"/>
        </w:rPr>
        <w:t>R</w:t>
      </w:r>
      <w:r w:rsidR="00510ACA">
        <w:rPr>
          <w:sz w:val="24"/>
          <w:szCs w:val="24"/>
        </w:rPr>
        <w:t>1</w:t>
      </w:r>
      <w:r w:rsidRPr="0089263F">
        <w:rPr>
          <w:sz w:val="24"/>
          <w:szCs w:val="24"/>
        </w:rPr>
        <w:t>-2</w:t>
      </w:r>
      <w:r w:rsidR="008E4BD2" w:rsidRPr="0089263F">
        <w:rPr>
          <w:sz w:val="24"/>
          <w:szCs w:val="24"/>
        </w:rPr>
        <w:t>2</w:t>
      </w:r>
      <w:r w:rsidR="00A506A2">
        <w:rPr>
          <w:sz w:val="24"/>
          <w:szCs w:val="24"/>
        </w:rPr>
        <w:t>10807</w:t>
      </w:r>
      <w:r w:rsidRPr="0089263F">
        <w:rPr>
          <w:sz w:val="24"/>
          <w:szCs w:val="24"/>
        </w:rPr>
        <w:t>, “</w:t>
      </w:r>
      <w:bookmarkStart w:id="5" w:name="_Hlk506457506"/>
      <w:bookmarkStart w:id="6" w:name="_Hlk42070541"/>
      <w:r w:rsidRPr="0089263F">
        <w:rPr>
          <w:sz w:val="24"/>
          <w:szCs w:val="24"/>
        </w:rPr>
        <w:t xml:space="preserve">LS on </w:t>
      </w:r>
      <w:bookmarkEnd w:id="1"/>
      <w:bookmarkEnd w:id="5"/>
      <w:bookmarkEnd w:id="6"/>
      <w:r w:rsidR="00A506A2">
        <w:rPr>
          <w:sz w:val="24"/>
          <w:szCs w:val="24"/>
        </w:rPr>
        <w:t>RACH-less handover in NTN</w:t>
      </w:r>
      <w:r w:rsidRPr="0089263F">
        <w:rPr>
          <w:sz w:val="24"/>
          <w:szCs w:val="24"/>
        </w:rPr>
        <w:t xml:space="preserve">,” </w:t>
      </w:r>
      <w:r w:rsidR="00A506A2">
        <w:rPr>
          <w:sz w:val="24"/>
          <w:szCs w:val="24"/>
        </w:rPr>
        <w:t>Nov.</w:t>
      </w:r>
      <w:r w:rsidRPr="0089263F">
        <w:rPr>
          <w:sz w:val="24"/>
          <w:szCs w:val="24"/>
        </w:rPr>
        <w:t xml:space="preserve"> 202</w:t>
      </w:r>
      <w:r w:rsidR="008E4BD2" w:rsidRPr="0089263F">
        <w:rPr>
          <w:sz w:val="24"/>
          <w:szCs w:val="24"/>
        </w:rPr>
        <w:t>2</w:t>
      </w:r>
      <w:r w:rsidRPr="0089263F">
        <w:rPr>
          <w:sz w:val="24"/>
          <w:szCs w:val="24"/>
        </w:rPr>
        <w:t>.</w:t>
      </w:r>
      <w:bookmarkEnd w:id="2"/>
      <w:r w:rsidRPr="0089263F">
        <w:rPr>
          <w:sz w:val="24"/>
          <w:szCs w:val="24"/>
        </w:rPr>
        <w:t xml:space="preserve"> </w:t>
      </w:r>
      <w:bookmarkEnd w:id="3"/>
      <w:bookmarkEnd w:id="4"/>
    </w:p>
    <w:p w14:paraId="7B691515" w14:textId="061CECF9" w:rsidR="00212609" w:rsidRPr="00212609" w:rsidRDefault="00C368BD" w:rsidP="00212609">
      <w:pPr>
        <w:numPr>
          <w:ilvl w:val="0"/>
          <w:numId w:val="5"/>
        </w:numPr>
        <w:tabs>
          <w:tab w:val="clear" w:pos="657"/>
        </w:tabs>
        <w:spacing w:before="100" w:beforeAutospacing="1" w:after="120"/>
        <w:ind w:left="562" w:hanging="562"/>
        <w:jc w:val="both"/>
        <w:rPr>
          <w:sz w:val="24"/>
          <w:szCs w:val="24"/>
        </w:rPr>
      </w:pPr>
      <w:bookmarkStart w:id="7" w:name="_Ref109041096"/>
      <w:bookmarkStart w:id="8" w:name="_Ref117892412"/>
      <w:r>
        <w:rPr>
          <w:sz w:val="24"/>
          <w:szCs w:val="24"/>
        </w:rPr>
        <w:t>3</w:t>
      </w:r>
      <w:r w:rsidRPr="00212609">
        <w:rPr>
          <w:sz w:val="24"/>
          <w:szCs w:val="24"/>
        </w:rPr>
        <w:t>GPP TR 38.</w:t>
      </w:r>
      <w:r>
        <w:rPr>
          <w:sz w:val="24"/>
          <w:szCs w:val="24"/>
        </w:rPr>
        <w:t>133</w:t>
      </w:r>
      <w:r w:rsidRPr="00212609">
        <w:rPr>
          <w:sz w:val="24"/>
          <w:szCs w:val="24"/>
        </w:rPr>
        <w:t xml:space="preserve">, </w:t>
      </w:r>
      <w:r w:rsidRPr="00C368BD">
        <w:rPr>
          <w:sz w:val="24"/>
          <w:szCs w:val="24"/>
        </w:rPr>
        <w:t>NR; Requirements for support of radio resource management</w:t>
      </w:r>
      <w:r w:rsidR="00212609" w:rsidRPr="00212609">
        <w:rPr>
          <w:sz w:val="24"/>
          <w:szCs w:val="24"/>
        </w:rPr>
        <w:t>, v1</w:t>
      </w:r>
      <w:r>
        <w:rPr>
          <w:sz w:val="24"/>
          <w:szCs w:val="24"/>
        </w:rPr>
        <w:t>7</w:t>
      </w:r>
      <w:r w:rsidR="00212609" w:rsidRPr="00212609">
        <w:rPr>
          <w:sz w:val="24"/>
          <w:szCs w:val="24"/>
        </w:rPr>
        <w:t>.</w:t>
      </w:r>
      <w:r>
        <w:rPr>
          <w:sz w:val="24"/>
          <w:szCs w:val="24"/>
        </w:rPr>
        <w:t>7</w:t>
      </w:r>
      <w:r w:rsidR="00212609" w:rsidRPr="00212609">
        <w:rPr>
          <w:sz w:val="24"/>
          <w:szCs w:val="24"/>
        </w:rPr>
        <w:t xml:space="preserve">.0, </w:t>
      </w:r>
      <w:r>
        <w:rPr>
          <w:sz w:val="24"/>
          <w:szCs w:val="24"/>
        </w:rPr>
        <w:t>Oct</w:t>
      </w:r>
      <w:r w:rsidR="00212609" w:rsidRPr="00212609">
        <w:rPr>
          <w:sz w:val="24"/>
          <w:szCs w:val="24"/>
        </w:rPr>
        <w:t>. 2022.</w:t>
      </w:r>
      <w:bookmarkEnd w:id="7"/>
      <w:r w:rsidR="00212609" w:rsidRPr="00212609">
        <w:rPr>
          <w:sz w:val="24"/>
          <w:szCs w:val="24"/>
        </w:rPr>
        <w:t xml:space="preserve"> </w:t>
      </w:r>
    </w:p>
    <w:p w14:paraId="5D99B100" w14:textId="5775B25C" w:rsidR="00CD474C" w:rsidRPr="005663FE" w:rsidRDefault="00E029FC" w:rsidP="00A506A2">
      <w:pPr>
        <w:numPr>
          <w:ilvl w:val="0"/>
          <w:numId w:val="5"/>
        </w:numPr>
        <w:tabs>
          <w:tab w:val="clear" w:pos="657"/>
        </w:tabs>
        <w:spacing w:before="100" w:beforeAutospacing="1" w:after="120"/>
        <w:ind w:left="562" w:hanging="562"/>
        <w:jc w:val="both"/>
        <w:rPr>
          <w:sz w:val="24"/>
          <w:szCs w:val="24"/>
        </w:rPr>
      </w:pPr>
      <w:bookmarkStart w:id="9" w:name="_Ref117934946"/>
      <w:r>
        <w:rPr>
          <w:sz w:val="24"/>
          <w:szCs w:val="24"/>
        </w:rPr>
        <w:t>R1-221</w:t>
      </w:r>
      <w:r w:rsidR="005E44A8">
        <w:rPr>
          <w:sz w:val="24"/>
          <w:szCs w:val="24"/>
        </w:rPr>
        <w:t>1</w:t>
      </w:r>
      <w:r w:rsidR="00AB58CB">
        <w:rPr>
          <w:sz w:val="24"/>
          <w:szCs w:val="24"/>
        </w:rPr>
        <w:t>786</w:t>
      </w:r>
      <w:r>
        <w:rPr>
          <w:sz w:val="24"/>
          <w:szCs w:val="24"/>
        </w:rPr>
        <w:t>, “Draft reply LS to RAN2 on RACH-less handover in NTN,” Nov. 2022.</w:t>
      </w:r>
      <w:bookmarkEnd w:id="8"/>
      <w:bookmarkEnd w:id="9"/>
      <w:r>
        <w:rPr>
          <w:sz w:val="24"/>
          <w:szCs w:val="24"/>
        </w:rPr>
        <w:t xml:space="preserve"> </w:t>
      </w:r>
    </w:p>
    <w:sectPr w:rsidR="00CD474C" w:rsidRPr="005663F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E883A" w14:textId="77777777" w:rsidR="0030430E" w:rsidRDefault="0030430E">
      <w:r>
        <w:separator/>
      </w:r>
    </w:p>
  </w:endnote>
  <w:endnote w:type="continuationSeparator" w:id="0">
    <w:p w14:paraId="36E37EF2" w14:textId="77777777" w:rsidR="0030430E" w:rsidRDefault="0030430E">
      <w:r>
        <w:continuationSeparator/>
      </w:r>
    </w:p>
  </w:endnote>
  <w:endnote w:type="continuationNotice" w:id="1">
    <w:p w14:paraId="542CDDB5" w14:textId="77777777" w:rsidR="0030430E" w:rsidRDefault="00304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9E63D" w14:textId="77777777" w:rsidR="0030430E" w:rsidRDefault="0030430E">
      <w:r>
        <w:separator/>
      </w:r>
    </w:p>
  </w:footnote>
  <w:footnote w:type="continuationSeparator" w:id="0">
    <w:p w14:paraId="35584B37" w14:textId="77777777" w:rsidR="0030430E" w:rsidRDefault="0030430E">
      <w:r>
        <w:continuationSeparator/>
      </w:r>
    </w:p>
  </w:footnote>
  <w:footnote w:type="continuationNotice" w:id="1">
    <w:p w14:paraId="19A3EB75" w14:textId="77777777" w:rsidR="0030430E" w:rsidRDefault="003043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BDF85D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4" w15:restartNumberingAfterBreak="0">
    <w:nsid w:val="0B980A30"/>
    <w:multiLevelType w:val="hybridMultilevel"/>
    <w:tmpl w:val="1B167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C54FB"/>
    <w:multiLevelType w:val="hybridMultilevel"/>
    <w:tmpl w:val="540826D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9963F6D"/>
    <w:multiLevelType w:val="hybridMultilevel"/>
    <w:tmpl w:val="540826DE"/>
    <w:lvl w:ilvl="0" w:tplc="AB4854F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ED2A3B"/>
    <w:multiLevelType w:val="hybridMultilevel"/>
    <w:tmpl w:val="540826D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5F30A9D"/>
    <w:multiLevelType w:val="hybridMultilevel"/>
    <w:tmpl w:val="1B167D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69E71965"/>
    <w:multiLevelType w:val="hybridMultilevel"/>
    <w:tmpl w:val="0378957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29118335">
    <w:abstractNumId w:val="6"/>
  </w:num>
  <w:num w:numId="2" w16cid:durableId="1798985130">
    <w:abstractNumId w:val="7"/>
  </w:num>
  <w:num w:numId="3" w16cid:durableId="348140757">
    <w:abstractNumId w:val="2"/>
  </w:num>
  <w:num w:numId="4" w16cid:durableId="271206451">
    <w:abstractNumId w:val="3"/>
  </w:num>
  <w:num w:numId="5" w16cid:durableId="146017652">
    <w:abstractNumId w:val="0"/>
  </w:num>
  <w:num w:numId="6" w16cid:durableId="1650205370">
    <w:abstractNumId w:val="1"/>
  </w:num>
  <w:num w:numId="7" w16cid:durableId="1497720168">
    <w:abstractNumId w:val="9"/>
  </w:num>
  <w:num w:numId="8" w16cid:durableId="138037242">
    <w:abstractNumId w:val="8"/>
  </w:num>
  <w:num w:numId="9" w16cid:durableId="399445388">
    <w:abstractNumId w:val="13"/>
  </w:num>
  <w:num w:numId="10" w16cid:durableId="1604151234">
    <w:abstractNumId w:val="10"/>
  </w:num>
  <w:num w:numId="11" w16cid:durableId="787578047">
    <w:abstractNumId w:val="4"/>
  </w:num>
  <w:num w:numId="12" w16cid:durableId="1599483556">
    <w:abstractNumId w:val="5"/>
  </w:num>
  <w:num w:numId="13" w16cid:durableId="1554001976">
    <w:abstractNumId w:val="14"/>
  </w:num>
  <w:num w:numId="14" w16cid:durableId="1350568651">
    <w:abstractNumId w:val="12"/>
  </w:num>
  <w:num w:numId="15" w16cid:durableId="123616677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5DD5"/>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77E71"/>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5BC"/>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59D"/>
    <w:rsid w:val="001467B1"/>
    <w:rsid w:val="001469F5"/>
    <w:rsid w:val="00150175"/>
    <w:rsid w:val="001502C8"/>
    <w:rsid w:val="00151011"/>
    <w:rsid w:val="00151224"/>
    <w:rsid w:val="0015130F"/>
    <w:rsid w:val="001532BA"/>
    <w:rsid w:val="00153D02"/>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5D4D"/>
    <w:rsid w:val="00186904"/>
    <w:rsid w:val="00186B0A"/>
    <w:rsid w:val="00186BAC"/>
    <w:rsid w:val="001905BD"/>
    <w:rsid w:val="00191E79"/>
    <w:rsid w:val="00192FE6"/>
    <w:rsid w:val="0019360B"/>
    <w:rsid w:val="00193986"/>
    <w:rsid w:val="00193B08"/>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42"/>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609"/>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27364"/>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DC1"/>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6F7"/>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1148"/>
    <w:rsid w:val="00302AE8"/>
    <w:rsid w:val="00302BB1"/>
    <w:rsid w:val="003030F0"/>
    <w:rsid w:val="0030404B"/>
    <w:rsid w:val="00304210"/>
    <w:rsid w:val="0030430E"/>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18FC"/>
    <w:rsid w:val="00363B2C"/>
    <w:rsid w:val="00364105"/>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0F36"/>
    <w:rsid w:val="0039241F"/>
    <w:rsid w:val="00392491"/>
    <w:rsid w:val="003935B0"/>
    <w:rsid w:val="00393E44"/>
    <w:rsid w:val="00394301"/>
    <w:rsid w:val="0039747B"/>
    <w:rsid w:val="00397AB6"/>
    <w:rsid w:val="00397ACA"/>
    <w:rsid w:val="003A10C3"/>
    <w:rsid w:val="003A2F09"/>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9E8"/>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463C"/>
    <w:rsid w:val="003F5547"/>
    <w:rsid w:val="003F5C40"/>
    <w:rsid w:val="003F5C66"/>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2E20"/>
    <w:rsid w:val="004942A7"/>
    <w:rsid w:val="00495BA6"/>
    <w:rsid w:val="00496375"/>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0FD"/>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0ACA"/>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257E"/>
    <w:rsid w:val="00554C49"/>
    <w:rsid w:val="00554E06"/>
    <w:rsid w:val="00554E4B"/>
    <w:rsid w:val="0055519C"/>
    <w:rsid w:val="005554C1"/>
    <w:rsid w:val="00555F67"/>
    <w:rsid w:val="00556E32"/>
    <w:rsid w:val="005604F1"/>
    <w:rsid w:val="005606A4"/>
    <w:rsid w:val="005607B8"/>
    <w:rsid w:val="00560CF5"/>
    <w:rsid w:val="00560F76"/>
    <w:rsid w:val="0056272D"/>
    <w:rsid w:val="00562BAB"/>
    <w:rsid w:val="00563047"/>
    <w:rsid w:val="0056308E"/>
    <w:rsid w:val="005638C1"/>
    <w:rsid w:val="00563F16"/>
    <w:rsid w:val="0056415C"/>
    <w:rsid w:val="005649BF"/>
    <w:rsid w:val="005650ED"/>
    <w:rsid w:val="00565869"/>
    <w:rsid w:val="005663FE"/>
    <w:rsid w:val="00567415"/>
    <w:rsid w:val="00567610"/>
    <w:rsid w:val="00570D9F"/>
    <w:rsid w:val="0057185C"/>
    <w:rsid w:val="00571CA8"/>
    <w:rsid w:val="00572947"/>
    <w:rsid w:val="00573138"/>
    <w:rsid w:val="005734A7"/>
    <w:rsid w:val="005746C4"/>
    <w:rsid w:val="00574B50"/>
    <w:rsid w:val="00576992"/>
    <w:rsid w:val="00577835"/>
    <w:rsid w:val="00580793"/>
    <w:rsid w:val="00581470"/>
    <w:rsid w:val="00581B62"/>
    <w:rsid w:val="00581BAD"/>
    <w:rsid w:val="00581D62"/>
    <w:rsid w:val="00582087"/>
    <w:rsid w:val="00582F21"/>
    <w:rsid w:val="00582F53"/>
    <w:rsid w:val="005831DD"/>
    <w:rsid w:val="005842F6"/>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912"/>
    <w:rsid w:val="00595A8C"/>
    <w:rsid w:val="00595C2C"/>
    <w:rsid w:val="00596BBA"/>
    <w:rsid w:val="00597386"/>
    <w:rsid w:val="005975C4"/>
    <w:rsid w:val="00597ED8"/>
    <w:rsid w:val="005A01AA"/>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44A8"/>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1729"/>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14E"/>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C7116"/>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D59"/>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1DF6"/>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A1B"/>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54F8"/>
    <w:rsid w:val="007D5E27"/>
    <w:rsid w:val="007D6F64"/>
    <w:rsid w:val="007E1782"/>
    <w:rsid w:val="007E2446"/>
    <w:rsid w:val="007E25AB"/>
    <w:rsid w:val="007E2BC3"/>
    <w:rsid w:val="007E2F41"/>
    <w:rsid w:val="007E44FC"/>
    <w:rsid w:val="007E58D3"/>
    <w:rsid w:val="007E5AC2"/>
    <w:rsid w:val="007E79C5"/>
    <w:rsid w:val="007E7F43"/>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17E"/>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8DE"/>
    <w:rsid w:val="00836B7A"/>
    <w:rsid w:val="00837300"/>
    <w:rsid w:val="00837B90"/>
    <w:rsid w:val="008409AA"/>
    <w:rsid w:val="00840FB8"/>
    <w:rsid w:val="00842DEF"/>
    <w:rsid w:val="00842E0C"/>
    <w:rsid w:val="00843499"/>
    <w:rsid w:val="00843A7A"/>
    <w:rsid w:val="008447F5"/>
    <w:rsid w:val="00846292"/>
    <w:rsid w:val="0084782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12D5"/>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263F"/>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2D4"/>
    <w:rsid w:val="008C47AD"/>
    <w:rsid w:val="008C603A"/>
    <w:rsid w:val="008C71C8"/>
    <w:rsid w:val="008D167D"/>
    <w:rsid w:val="008D3116"/>
    <w:rsid w:val="008D492A"/>
    <w:rsid w:val="008D4B58"/>
    <w:rsid w:val="008D4B7F"/>
    <w:rsid w:val="008D4B8A"/>
    <w:rsid w:val="008D546C"/>
    <w:rsid w:val="008D6541"/>
    <w:rsid w:val="008D7D7B"/>
    <w:rsid w:val="008E0F52"/>
    <w:rsid w:val="008E216C"/>
    <w:rsid w:val="008E2316"/>
    <w:rsid w:val="008E3063"/>
    <w:rsid w:val="008E34BE"/>
    <w:rsid w:val="008E3AA8"/>
    <w:rsid w:val="008E3E57"/>
    <w:rsid w:val="008E42CE"/>
    <w:rsid w:val="008E42F4"/>
    <w:rsid w:val="008E4333"/>
    <w:rsid w:val="008E4A31"/>
    <w:rsid w:val="008E4BD2"/>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321"/>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87609"/>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54A3"/>
    <w:rsid w:val="009F7867"/>
    <w:rsid w:val="009F7D66"/>
    <w:rsid w:val="00A00BD2"/>
    <w:rsid w:val="00A00E56"/>
    <w:rsid w:val="00A027F3"/>
    <w:rsid w:val="00A03978"/>
    <w:rsid w:val="00A03AB1"/>
    <w:rsid w:val="00A03D3F"/>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6A2"/>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38A"/>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58CB"/>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04B8"/>
    <w:rsid w:val="00B712F9"/>
    <w:rsid w:val="00B721CD"/>
    <w:rsid w:val="00B7267A"/>
    <w:rsid w:val="00B726FF"/>
    <w:rsid w:val="00B72A5B"/>
    <w:rsid w:val="00B72AA4"/>
    <w:rsid w:val="00B75454"/>
    <w:rsid w:val="00B76BCD"/>
    <w:rsid w:val="00B76EE9"/>
    <w:rsid w:val="00B77231"/>
    <w:rsid w:val="00B77880"/>
    <w:rsid w:val="00B77B84"/>
    <w:rsid w:val="00B80D90"/>
    <w:rsid w:val="00B8226B"/>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62D"/>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E753A"/>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2EB3"/>
    <w:rsid w:val="00C33247"/>
    <w:rsid w:val="00C33359"/>
    <w:rsid w:val="00C348D6"/>
    <w:rsid w:val="00C3504C"/>
    <w:rsid w:val="00C355F9"/>
    <w:rsid w:val="00C35AC3"/>
    <w:rsid w:val="00C365E7"/>
    <w:rsid w:val="00C368BD"/>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A5631"/>
    <w:rsid w:val="00CB0007"/>
    <w:rsid w:val="00CB09DA"/>
    <w:rsid w:val="00CB0BD9"/>
    <w:rsid w:val="00CB1CAC"/>
    <w:rsid w:val="00CB1DE8"/>
    <w:rsid w:val="00CB1E3B"/>
    <w:rsid w:val="00CB1F1D"/>
    <w:rsid w:val="00CB6795"/>
    <w:rsid w:val="00CB71F8"/>
    <w:rsid w:val="00CC00E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74C"/>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B3"/>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49D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6F16"/>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E7D"/>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29FC"/>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650"/>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16"/>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2913"/>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4B72"/>
    <w:rsid w:val="00F657CF"/>
    <w:rsid w:val="00F65808"/>
    <w:rsid w:val="00F6587D"/>
    <w:rsid w:val="00F669E2"/>
    <w:rsid w:val="00F66A00"/>
    <w:rsid w:val="00F66CFB"/>
    <w:rsid w:val="00F70C73"/>
    <w:rsid w:val="00F713A3"/>
    <w:rsid w:val="00F714AB"/>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5A9E"/>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90F36"/>
    <w:pPr>
      <w:tabs>
        <w:tab w:val="left" w:pos="1701"/>
        <w:tab w:val="right" w:pos="9639"/>
      </w:tabs>
      <w:overflowPunct/>
      <w:autoSpaceDE/>
      <w:autoSpaceDN/>
      <w:adjustRightInd/>
      <w:spacing w:after="240"/>
      <w:textAlignment w:val="auto"/>
    </w:pPr>
    <w:rPr>
      <w:rFonts w:eastAsia="Malgun Gothic"/>
      <w:b/>
      <w:sz w:val="24"/>
      <w:szCs w:val="24"/>
      <w:lang w:eastAsia="zh-CN"/>
    </w:rPr>
  </w:style>
  <w:style w:type="character" w:customStyle="1" w:styleId="apple-converted-space">
    <w:name w:val="apple-converted-space"/>
    <w:basedOn w:val="DefaultParagraphFont"/>
    <w:rsid w:val="00811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601728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42772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579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3</Pages>
  <Words>1062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2021-08-03T17:16:00Z</dcterms:created>
  <dcterms:modified xsi:type="dcterms:W3CDTF">2022-11-04T21:44:00Z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